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B2" w:rsidRPr="00B415B2" w:rsidRDefault="00B415B2" w:rsidP="00B415B2">
      <w:pPr>
        <w:pStyle w:val="Pokus1"/>
        <w:numPr>
          <w:ilvl w:val="0"/>
          <w:numId w:val="0"/>
        </w:numPr>
        <w:spacing w:before="100" w:beforeAutospacing="1" w:after="100" w:afterAutospacing="1"/>
        <w:jc w:val="right"/>
        <w:rPr>
          <w:rFonts w:cs="Arial"/>
          <w:caps/>
        </w:rPr>
      </w:pPr>
    </w:p>
    <w:p w:rsidR="00B415B2" w:rsidRDefault="00B415B2" w:rsidP="00B415B2">
      <w:pPr>
        <w:spacing w:before="100" w:beforeAutospacing="1" w:after="100" w:afterAutospacing="1"/>
        <w:jc w:val="both"/>
        <w:rPr>
          <w:b/>
          <w:sz w:val="18"/>
          <w:szCs w:val="18"/>
        </w:rPr>
      </w:pPr>
    </w:p>
    <w:p w:rsidR="009F4FD2" w:rsidRPr="00C70F8A" w:rsidRDefault="00B415B2" w:rsidP="00B415B2">
      <w:pPr>
        <w:spacing w:before="100" w:beforeAutospacing="1" w:after="100" w:afterAutospacing="1"/>
        <w:jc w:val="center"/>
        <w:rPr>
          <w:b/>
          <w:sz w:val="18"/>
          <w:szCs w:val="18"/>
        </w:rPr>
      </w:pPr>
      <w:r w:rsidRPr="00187E0C">
        <w:rPr>
          <w:b/>
        </w:rPr>
        <w:t>Pravidla vedení samostatné evidence Komerční banky, a.s.</w:t>
      </w:r>
    </w:p>
    <w:p w:rsidR="00B415B2" w:rsidRPr="00C70F8A" w:rsidRDefault="00B415B2" w:rsidP="00B415B2">
      <w:pPr>
        <w:spacing w:before="100" w:beforeAutospacing="1" w:after="100" w:afterAutospacing="1"/>
        <w:jc w:val="both"/>
        <w:rPr>
          <w:sz w:val="18"/>
          <w:szCs w:val="18"/>
        </w:rPr>
      </w:pPr>
    </w:p>
    <w:p w:rsidR="00B415B2" w:rsidRDefault="00B415B2" w:rsidP="00207F02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5" w:hanging="425"/>
        <w:jc w:val="both"/>
        <w:textAlignment w:val="auto"/>
        <w:rPr>
          <w:b/>
          <w:sz w:val="18"/>
          <w:szCs w:val="18"/>
        </w:rPr>
        <w:sectPr w:rsidR="00B415B2" w:rsidSect="00563AA4">
          <w:headerReference w:type="default" r:id="rId8"/>
          <w:footerReference w:type="default" r:id="rId9"/>
          <w:type w:val="continuous"/>
          <w:pgSz w:w="11907" w:h="16840" w:code="9"/>
          <w:pgMar w:top="1134" w:right="1134" w:bottom="1134" w:left="1134" w:header="454" w:footer="397" w:gutter="0"/>
          <w:cols w:space="708"/>
        </w:sectPr>
      </w:pPr>
    </w:p>
    <w:p w:rsidR="00077059" w:rsidRDefault="00B415B2" w:rsidP="00077059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5" w:hanging="425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lastRenderedPageBreak/>
        <w:t>Úvodní ustanovení a rozsah vedení evidence</w:t>
      </w:r>
    </w:p>
    <w:p w:rsidR="00077059" w:rsidRDefault="00B415B2" w:rsidP="00077059">
      <w:pPr>
        <w:numPr>
          <w:ilvl w:val="1"/>
          <w:numId w:val="27"/>
        </w:numPr>
        <w:tabs>
          <w:tab w:val="clear" w:pos="360"/>
          <w:tab w:val="num" w:pos="426"/>
        </w:tabs>
        <w:overflowPunct/>
        <w:autoSpaceDE/>
        <w:autoSpaceDN/>
        <w:adjustRightInd/>
        <w:spacing w:before="100" w:beforeAutospacing="1" w:after="120"/>
        <w:ind w:left="425" w:hanging="425"/>
        <w:jc w:val="both"/>
        <w:textAlignment w:val="auto"/>
        <w:rPr>
          <w:sz w:val="18"/>
          <w:szCs w:val="18"/>
        </w:rPr>
      </w:pPr>
      <w:r w:rsidRPr="00350FCE">
        <w:rPr>
          <w:sz w:val="18"/>
          <w:szCs w:val="18"/>
        </w:rPr>
        <w:t xml:space="preserve">Tato pravidla vedení samostatné evidence společnosti Komerční banka, a.s., se sídlem Praha 1, Na Příkopě 33 </w:t>
      </w:r>
      <w:proofErr w:type="spellStart"/>
      <w:r w:rsidRPr="00350FCE">
        <w:rPr>
          <w:sz w:val="18"/>
          <w:szCs w:val="18"/>
        </w:rPr>
        <w:t>čp</w:t>
      </w:r>
      <w:proofErr w:type="spellEnd"/>
      <w:r w:rsidRPr="00350FCE">
        <w:rPr>
          <w:sz w:val="18"/>
          <w:szCs w:val="18"/>
        </w:rPr>
        <w:t>. 969, PSČ 114 07, IČ</w:t>
      </w:r>
      <w:r w:rsidR="002964B2">
        <w:rPr>
          <w:sz w:val="18"/>
          <w:szCs w:val="18"/>
        </w:rPr>
        <w:t>O</w:t>
      </w:r>
      <w:r w:rsidRPr="00350FCE">
        <w:rPr>
          <w:sz w:val="18"/>
          <w:szCs w:val="18"/>
        </w:rPr>
        <w:t>: 45317054, zapsan</w:t>
      </w:r>
      <w:r w:rsidR="00CF40AD" w:rsidRPr="00350FCE">
        <w:rPr>
          <w:sz w:val="18"/>
          <w:szCs w:val="18"/>
        </w:rPr>
        <w:t>é</w:t>
      </w:r>
      <w:r w:rsidRPr="00350FCE">
        <w:rPr>
          <w:sz w:val="18"/>
          <w:szCs w:val="18"/>
        </w:rPr>
        <w:t xml:space="preserve"> v obchodním rejstříku vedeném Městským soudem v Praze, oddíl B, vložka 1360 (dále jen „</w:t>
      </w:r>
      <w:r w:rsidR="00D60867">
        <w:rPr>
          <w:b/>
          <w:sz w:val="18"/>
          <w:szCs w:val="18"/>
        </w:rPr>
        <w:t>Banka</w:t>
      </w:r>
      <w:r w:rsidR="00D60867">
        <w:rPr>
          <w:sz w:val="18"/>
          <w:szCs w:val="18"/>
        </w:rPr>
        <w:t>“ a „</w:t>
      </w:r>
      <w:r w:rsidR="00D60867">
        <w:rPr>
          <w:b/>
          <w:sz w:val="18"/>
          <w:szCs w:val="18"/>
        </w:rPr>
        <w:t>Pravidla</w:t>
      </w:r>
      <w:r w:rsidR="00D60867">
        <w:rPr>
          <w:sz w:val="18"/>
          <w:szCs w:val="18"/>
        </w:rPr>
        <w:t>“), určují způsob a podmínky vedení samostatné evidence investičních nástrojů v souladu se zákonem č. 256/2004 Sb., o podnikání na kapitálovém trhu, ve znění pozdějších předpisů (dále jen „</w:t>
      </w:r>
      <w:r w:rsidR="00D60867">
        <w:rPr>
          <w:b/>
          <w:sz w:val="18"/>
          <w:szCs w:val="18"/>
        </w:rPr>
        <w:t>ZPKT</w:t>
      </w:r>
      <w:r w:rsidR="00D60867">
        <w:rPr>
          <w:sz w:val="18"/>
          <w:szCs w:val="18"/>
        </w:rPr>
        <w:t>“) a podle vyhlášky č. 58/2006 Sb., o způsobu vedení samostatné evidence investičních nástrojů a evidence navazující na samostatnou evidenci investičních nástrojů, ve znění pozdějších předpisů (dále jen „</w:t>
      </w:r>
      <w:r w:rsidR="00D60867">
        <w:rPr>
          <w:b/>
          <w:sz w:val="18"/>
          <w:szCs w:val="18"/>
        </w:rPr>
        <w:t>Vyhláška</w:t>
      </w:r>
      <w:r w:rsidR="00D60867">
        <w:rPr>
          <w:sz w:val="18"/>
          <w:szCs w:val="18"/>
        </w:rPr>
        <w:t>“).</w:t>
      </w:r>
    </w:p>
    <w:p w:rsidR="00077059" w:rsidRDefault="00B415B2" w:rsidP="00256EB9">
      <w:pPr>
        <w:numPr>
          <w:ilvl w:val="1"/>
          <w:numId w:val="27"/>
        </w:numPr>
        <w:tabs>
          <w:tab w:val="clear" w:pos="360"/>
          <w:tab w:val="num" w:pos="426"/>
        </w:tabs>
        <w:overflowPunct/>
        <w:autoSpaceDE/>
        <w:autoSpaceDN/>
        <w:adjustRightInd/>
        <w:spacing w:before="100" w:beforeAutospacing="1"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Tato Pravidla se vztahují na </w:t>
      </w:r>
      <w:r w:rsidRPr="009861F5">
        <w:rPr>
          <w:sz w:val="18"/>
          <w:szCs w:val="18"/>
        </w:rPr>
        <w:t xml:space="preserve">samostatnou evidenci </w:t>
      </w:r>
      <w:r>
        <w:rPr>
          <w:sz w:val="18"/>
          <w:szCs w:val="18"/>
        </w:rPr>
        <w:t xml:space="preserve">cenných papírů (dále též </w:t>
      </w:r>
      <w:r w:rsidRPr="006415DC">
        <w:rPr>
          <w:bCs/>
          <w:sz w:val="18"/>
          <w:szCs w:val="18"/>
        </w:rPr>
        <w:t>„</w:t>
      </w:r>
      <w:r w:rsidRPr="001568A7">
        <w:rPr>
          <w:b/>
          <w:bCs/>
          <w:sz w:val="18"/>
          <w:szCs w:val="18"/>
        </w:rPr>
        <w:t>CP</w:t>
      </w:r>
      <w:r w:rsidRPr="006415DC">
        <w:rPr>
          <w:bCs/>
          <w:sz w:val="18"/>
          <w:szCs w:val="18"/>
        </w:rPr>
        <w:t>“</w:t>
      </w:r>
      <w:r w:rsidR="00D36243">
        <w:rPr>
          <w:b/>
          <w:bCs/>
          <w:sz w:val="18"/>
          <w:szCs w:val="18"/>
        </w:rPr>
        <w:t xml:space="preserve"> </w:t>
      </w:r>
      <w:r w:rsidR="00D36243" w:rsidRPr="00D36243">
        <w:rPr>
          <w:bCs/>
          <w:sz w:val="18"/>
          <w:szCs w:val="18"/>
        </w:rPr>
        <w:t>a</w:t>
      </w:r>
      <w:r w:rsidR="00D36243">
        <w:rPr>
          <w:b/>
          <w:bCs/>
          <w:sz w:val="18"/>
          <w:szCs w:val="18"/>
        </w:rPr>
        <w:t xml:space="preserve"> </w:t>
      </w:r>
      <w:r w:rsidR="00D36243" w:rsidRPr="006415DC">
        <w:rPr>
          <w:bCs/>
          <w:sz w:val="18"/>
          <w:szCs w:val="18"/>
        </w:rPr>
        <w:t>„</w:t>
      </w:r>
      <w:r w:rsidR="00D36243">
        <w:rPr>
          <w:b/>
          <w:bCs/>
          <w:sz w:val="18"/>
          <w:szCs w:val="18"/>
        </w:rPr>
        <w:t>Evidence</w:t>
      </w:r>
      <w:r w:rsidR="00D36243" w:rsidRPr="006415DC">
        <w:rPr>
          <w:bCs/>
          <w:sz w:val="18"/>
          <w:szCs w:val="18"/>
        </w:rPr>
        <w:t>“</w:t>
      </w:r>
      <w:r>
        <w:rPr>
          <w:sz w:val="18"/>
          <w:szCs w:val="18"/>
        </w:rPr>
        <w:t xml:space="preserve">), a to </w:t>
      </w:r>
    </w:p>
    <w:p w:rsidR="00077059" w:rsidRDefault="00B415B2" w:rsidP="00256EB9">
      <w:pPr>
        <w:numPr>
          <w:ilvl w:val="1"/>
          <w:numId w:val="45"/>
        </w:numPr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9861F5">
        <w:rPr>
          <w:sz w:val="18"/>
          <w:szCs w:val="18"/>
        </w:rPr>
        <w:t xml:space="preserve">sběrných dluhopisů emitovaných Bankou </w:t>
      </w:r>
      <w:r w:rsidR="009D2C16">
        <w:rPr>
          <w:sz w:val="18"/>
          <w:szCs w:val="18"/>
        </w:rPr>
        <w:t xml:space="preserve">nebo </w:t>
      </w:r>
      <w:r w:rsidR="008B1848">
        <w:rPr>
          <w:sz w:val="18"/>
          <w:szCs w:val="18"/>
        </w:rPr>
        <w:t>klientem Banky</w:t>
      </w:r>
      <w:r w:rsidR="007C0E28">
        <w:rPr>
          <w:sz w:val="18"/>
          <w:szCs w:val="18"/>
        </w:rPr>
        <w:t xml:space="preserve"> uložených u Banky</w:t>
      </w:r>
      <w:r w:rsidR="00D36243">
        <w:rPr>
          <w:sz w:val="18"/>
          <w:szCs w:val="18"/>
        </w:rPr>
        <w:t>, které představují souhrn jednotlivých dluhopisů dané emise</w:t>
      </w:r>
      <w:r w:rsidR="008B1848">
        <w:rPr>
          <w:sz w:val="18"/>
          <w:szCs w:val="18"/>
        </w:rPr>
        <w:t xml:space="preserve"> </w:t>
      </w:r>
      <w:r w:rsidRPr="009861F5">
        <w:rPr>
          <w:sz w:val="18"/>
          <w:szCs w:val="18"/>
        </w:rPr>
        <w:t xml:space="preserve">(dále </w:t>
      </w:r>
      <w:r w:rsidR="00D36243">
        <w:rPr>
          <w:sz w:val="18"/>
          <w:szCs w:val="18"/>
        </w:rPr>
        <w:t>jen</w:t>
      </w:r>
      <w:r w:rsidRPr="009861F5">
        <w:rPr>
          <w:sz w:val="18"/>
          <w:szCs w:val="18"/>
        </w:rPr>
        <w:t xml:space="preserve"> „</w:t>
      </w:r>
      <w:r w:rsidRPr="009861F5">
        <w:rPr>
          <w:b/>
          <w:sz w:val="18"/>
          <w:szCs w:val="18"/>
        </w:rPr>
        <w:t>Sběrný dluhopis</w:t>
      </w:r>
      <w:r w:rsidRPr="009861F5">
        <w:rPr>
          <w:sz w:val="18"/>
          <w:szCs w:val="18"/>
        </w:rPr>
        <w:t>“</w:t>
      </w:r>
      <w:r w:rsidR="00EB69D3">
        <w:rPr>
          <w:sz w:val="18"/>
          <w:szCs w:val="18"/>
        </w:rPr>
        <w:t>;</w:t>
      </w:r>
      <w:r w:rsidR="00D36243">
        <w:rPr>
          <w:sz w:val="18"/>
          <w:szCs w:val="18"/>
        </w:rPr>
        <w:t xml:space="preserve"> </w:t>
      </w:r>
      <w:r w:rsidR="00D36243" w:rsidRPr="009861F5">
        <w:rPr>
          <w:sz w:val="18"/>
          <w:szCs w:val="18"/>
        </w:rPr>
        <w:t>jednotlivý dluhopis</w:t>
      </w:r>
      <w:r w:rsidR="00BD64E0">
        <w:rPr>
          <w:sz w:val="18"/>
          <w:szCs w:val="18"/>
        </w:rPr>
        <w:t>, který představuje podíl na Sběrném dluhopisu,</w:t>
      </w:r>
      <w:r w:rsidR="00D36243" w:rsidRPr="009861F5">
        <w:rPr>
          <w:sz w:val="18"/>
          <w:szCs w:val="18"/>
        </w:rPr>
        <w:t xml:space="preserve"> dále jen „</w:t>
      </w:r>
      <w:r w:rsidR="00D36243" w:rsidRPr="009861F5">
        <w:rPr>
          <w:b/>
          <w:sz w:val="18"/>
          <w:szCs w:val="18"/>
        </w:rPr>
        <w:t>Dluhopis</w:t>
      </w:r>
      <w:r w:rsidR="00D36243">
        <w:rPr>
          <w:b/>
          <w:sz w:val="18"/>
          <w:szCs w:val="18"/>
        </w:rPr>
        <w:t>“</w:t>
      </w:r>
      <w:r w:rsidRPr="009861F5">
        <w:rPr>
          <w:sz w:val="18"/>
          <w:szCs w:val="18"/>
        </w:rPr>
        <w:t>)</w:t>
      </w:r>
      <w:r w:rsidR="008B1848">
        <w:rPr>
          <w:sz w:val="18"/>
          <w:szCs w:val="18"/>
        </w:rPr>
        <w:t>;</w:t>
      </w:r>
      <w:r w:rsidRPr="009861F5">
        <w:rPr>
          <w:sz w:val="18"/>
          <w:szCs w:val="18"/>
        </w:rPr>
        <w:t xml:space="preserve"> </w:t>
      </w:r>
    </w:p>
    <w:p w:rsidR="00077059" w:rsidRDefault="00D36243" w:rsidP="00256EB9">
      <w:pPr>
        <w:numPr>
          <w:ilvl w:val="1"/>
          <w:numId w:val="45"/>
        </w:numPr>
        <w:overflowPunct/>
        <w:autoSpaceDE/>
        <w:autoSpaceDN/>
        <w:adjustRightInd/>
        <w:spacing w:before="100" w:beforeAutospacing="1" w:after="120"/>
        <w:ind w:left="851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i</w:t>
      </w:r>
      <w:r w:rsidR="00B415B2">
        <w:rPr>
          <w:sz w:val="18"/>
          <w:szCs w:val="18"/>
        </w:rPr>
        <w:t xml:space="preserve">mobilizovaných akcií </w:t>
      </w:r>
      <w:r w:rsidR="00B415B2" w:rsidRPr="009861F5">
        <w:rPr>
          <w:sz w:val="18"/>
          <w:szCs w:val="18"/>
        </w:rPr>
        <w:t xml:space="preserve">emitovaných </w:t>
      </w:r>
      <w:r w:rsidR="00B415B2">
        <w:rPr>
          <w:sz w:val="18"/>
          <w:szCs w:val="18"/>
        </w:rPr>
        <w:t>klientem B</w:t>
      </w:r>
      <w:r w:rsidR="008B1848">
        <w:rPr>
          <w:sz w:val="18"/>
          <w:szCs w:val="18"/>
        </w:rPr>
        <w:t>anky</w:t>
      </w:r>
      <w:r w:rsidR="00B415B2" w:rsidRPr="009861F5">
        <w:rPr>
          <w:sz w:val="18"/>
          <w:szCs w:val="18"/>
        </w:rPr>
        <w:t xml:space="preserve"> (dále také „</w:t>
      </w:r>
      <w:r w:rsidR="00B415B2">
        <w:rPr>
          <w:b/>
          <w:sz w:val="18"/>
          <w:szCs w:val="18"/>
        </w:rPr>
        <w:t>Akcie</w:t>
      </w:r>
      <w:r w:rsidR="00B415B2" w:rsidRPr="009861F5">
        <w:rPr>
          <w:sz w:val="18"/>
          <w:szCs w:val="18"/>
        </w:rPr>
        <w:t>“)</w:t>
      </w:r>
      <w:r w:rsidR="0022010A">
        <w:rPr>
          <w:sz w:val="18"/>
          <w:szCs w:val="18"/>
        </w:rPr>
        <w:t>.</w:t>
      </w:r>
      <w:r w:rsidR="00B415B2" w:rsidRPr="009861F5">
        <w:rPr>
          <w:sz w:val="18"/>
          <w:szCs w:val="18"/>
        </w:rPr>
        <w:t xml:space="preserve"> </w:t>
      </w:r>
    </w:p>
    <w:p w:rsidR="00077059" w:rsidRDefault="007F1B14" w:rsidP="00077059">
      <w:pPr>
        <w:numPr>
          <w:ilvl w:val="1"/>
          <w:numId w:val="27"/>
        </w:numPr>
        <w:tabs>
          <w:tab w:val="clear" w:pos="36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D36243">
        <w:rPr>
          <w:sz w:val="18"/>
          <w:szCs w:val="18"/>
        </w:rPr>
        <w:t>P</w:t>
      </w:r>
      <w:r w:rsidR="00B415B2" w:rsidRPr="00D36243">
        <w:rPr>
          <w:sz w:val="18"/>
          <w:szCs w:val="18"/>
        </w:rPr>
        <w:t xml:space="preserve">ojmy začínající velkým písmenem </w:t>
      </w:r>
      <w:r w:rsidRPr="00D36243">
        <w:rPr>
          <w:sz w:val="18"/>
          <w:szCs w:val="18"/>
        </w:rPr>
        <w:t xml:space="preserve">mají </w:t>
      </w:r>
      <w:r w:rsidR="00B415B2" w:rsidRPr="00D36243">
        <w:rPr>
          <w:sz w:val="18"/>
          <w:szCs w:val="18"/>
        </w:rPr>
        <w:t>význam stanovený v </w:t>
      </w:r>
      <w:r w:rsidRPr="00D36243">
        <w:rPr>
          <w:sz w:val="18"/>
          <w:szCs w:val="18"/>
        </w:rPr>
        <w:t>těchto Pravidlech</w:t>
      </w:r>
      <w:r w:rsidR="00B415B2" w:rsidRPr="00D36243">
        <w:rPr>
          <w:sz w:val="18"/>
          <w:szCs w:val="18"/>
        </w:rPr>
        <w:t xml:space="preserve">. </w:t>
      </w:r>
    </w:p>
    <w:p w:rsidR="00077059" w:rsidRDefault="00B415B2" w:rsidP="00077059">
      <w:pPr>
        <w:numPr>
          <w:ilvl w:val="1"/>
          <w:numId w:val="27"/>
        </w:numPr>
        <w:tabs>
          <w:tab w:val="clear" w:pos="36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Kromě případů, kdy z kontextu vyplýv</w:t>
      </w:r>
      <w:r>
        <w:rPr>
          <w:sz w:val="18"/>
          <w:szCs w:val="18"/>
        </w:rPr>
        <w:t xml:space="preserve">á něco jiného, slova uvedená v Pravidlech </w:t>
      </w:r>
      <w:r w:rsidRPr="00C70F8A">
        <w:rPr>
          <w:sz w:val="18"/>
          <w:szCs w:val="18"/>
        </w:rPr>
        <w:t>v jednotném čísle zahrnují rovněž množné číslo a slova v množném čísle zahrnují i číslo jednotné. Všechny nadpisy a podnadpisy jsou v textu umístěny pro jeho přehlednost a nebudou brány v potaz při výkladu</w:t>
      </w:r>
      <w:r>
        <w:rPr>
          <w:sz w:val="18"/>
          <w:szCs w:val="18"/>
        </w:rPr>
        <w:t xml:space="preserve">. Jakýkoliv odkaz na tato Pravidla </w:t>
      </w:r>
      <w:r w:rsidRPr="00C70F8A">
        <w:rPr>
          <w:sz w:val="18"/>
          <w:szCs w:val="18"/>
        </w:rPr>
        <w:t>nebo jakýkoliv jiný dokument či dohodu zahrnuje veškeré jeho dodatky a změny, které</w:t>
      </w:r>
      <w:r>
        <w:rPr>
          <w:sz w:val="18"/>
          <w:szCs w:val="18"/>
        </w:rPr>
        <w:t xml:space="preserve"> byly učiněny v souladu s těmito Pravidly </w:t>
      </w:r>
      <w:r w:rsidRPr="00C70F8A">
        <w:rPr>
          <w:sz w:val="18"/>
          <w:szCs w:val="18"/>
        </w:rPr>
        <w:t>a s příslušnými právními předpisy.</w:t>
      </w:r>
    </w:p>
    <w:p w:rsidR="00077059" w:rsidRDefault="00BD64E0" w:rsidP="00077059">
      <w:pPr>
        <w:numPr>
          <w:ilvl w:val="1"/>
          <w:numId w:val="27"/>
        </w:numPr>
        <w:tabs>
          <w:tab w:val="clear" w:pos="36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5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Banka je oprávněna účtovat vlastníkům Akcií nebo Dluhopisů p</w:t>
      </w:r>
      <w:r w:rsidR="00B415B2" w:rsidRPr="005D1368">
        <w:rPr>
          <w:sz w:val="18"/>
          <w:szCs w:val="18"/>
        </w:rPr>
        <w:t xml:space="preserve">oplatky za příkazy k zápisu do </w:t>
      </w:r>
      <w:r w:rsidR="0058267E" w:rsidRPr="005D1368">
        <w:rPr>
          <w:sz w:val="18"/>
          <w:szCs w:val="18"/>
        </w:rPr>
        <w:t>E</w:t>
      </w:r>
      <w:r w:rsidR="00B415B2" w:rsidRPr="005D1368">
        <w:rPr>
          <w:sz w:val="18"/>
          <w:szCs w:val="18"/>
        </w:rPr>
        <w:t>vidence, výpisy z </w:t>
      </w:r>
      <w:r w:rsidR="0058267E" w:rsidRPr="005D1368">
        <w:rPr>
          <w:sz w:val="18"/>
          <w:szCs w:val="18"/>
        </w:rPr>
        <w:t>E</w:t>
      </w:r>
      <w:r w:rsidR="00B415B2" w:rsidRPr="005D1368">
        <w:rPr>
          <w:sz w:val="18"/>
          <w:szCs w:val="18"/>
        </w:rPr>
        <w:t xml:space="preserve">vidence a další úkony související s vedením </w:t>
      </w:r>
      <w:r w:rsidR="0058267E" w:rsidRPr="005D1368">
        <w:rPr>
          <w:sz w:val="18"/>
          <w:szCs w:val="18"/>
        </w:rPr>
        <w:t>E</w:t>
      </w:r>
      <w:r w:rsidR="00B415B2" w:rsidRPr="005D1368">
        <w:rPr>
          <w:sz w:val="18"/>
          <w:szCs w:val="18"/>
        </w:rPr>
        <w:t>vidence</w:t>
      </w:r>
      <w:r w:rsidR="007A2749">
        <w:rPr>
          <w:sz w:val="18"/>
          <w:szCs w:val="18"/>
        </w:rPr>
        <w:t>,</w:t>
      </w:r>
      <w:r w:rsidR="00B415B2" w:rsidRPr="005D136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které </w:t>
      </w:r>
      <w:r w:rsidR="00B415B2" w:rsidRPr="005D1368">
        <w:rPr>
          <w:sz w:val="18"/>
          <w:szCs w:val="18"/>
        </w:rPr>
        <w:t xml:space="preserve">jsou </w:t>
      </w:r>
      <w:r w:rsidR="00CC1EAF">
        <w:rPr>
          <w:sz w:val="18"/>
          <w:szCs w:val="18"/>
        </w:rPr>
        <w:t>uvedeny</w:t>
      </w:r>
      <w:r w:rsidR="00CC1EAF" w:rsidRPr="005D1368">
        <w:rPr>
          <w:sz w:val="18"/>
          <w:szCs w:val="18"/>
        </w:rPr>
        <w:t xml:space="preserve"> </w:t>
      </w:r>
      <w:r w:rsidR="00B415B2" w:rsidRPr="005D1368">
        <w:rPr>
          <w:sz w:val="18"/>
          <w:szCs w:val="18"/>
        </w:rPr>
        <w:t>v </w:t>
      </w:r>
      <w:r w:rsidR="00FF6223" w:rsidRPr="005D1368">
        <w:rPr>
          <w:sz w:val="18"/>
          <w:szCs w:val="18"/>
        </w:rPr>
        <w:t>S</w:t>
      </w:r>
      <w:r w:rsidR="00B415B2" w:rsidRPr="005D1368">
        <w:rPr>
          <w:sz w:val="18"/>
          <w:szCs w:val="18"/>
        </w:rPr>
        <w:t xml:space="preserve">azebníku Banky, </w:t>
      </w:r>
      <w:r>
        <w:rPr>
          <w:sz w:val="18"/>
          <w:szCs w:val="18"/>
        </w:rPr>
        <w:t>jenž</w:t>
      </w:r>
      <w:r w:rsidR="004B7B93">
        <w:rPr>
          <w:sz w:val="18"/>
          <w:szCs w:val="18"/>
        </w:rPr>
        <w:t xml:space="preserve"> je přílohou</w:t>
      </w:r>
      <w:r w:rsidR="007A2749">
        <w:rPr>
          <w:sz w:val="18"/>
          <w:szCs w:val="18"/>
        </w:rPr>
        <w:t xml:space="preserve"> těchto Pravidel. P</w:t>
      </w:r>
      <w:r w:rsidR="005D1368">
        <w:rPr>
          <w:sz w:val="18"/>
          <w:szCs w:val="18"/>
        </w:rPr>
        <w:t>oplatky</w:t>
      </w:r>
      <w:r w:rsidR="007A2749">
        <w:rPr>
          <w:sz w:val="18"/>
          <w:szCs w:val="18"/>
        </w:rPr>
        <w:t xml:space="preserve"> uvedené v Sazebníku Banky</w:t>
      </w:r>
      <w:r w:rsidR="005D1368">
        <w:rPr>
          <w:sz w:val="18"/>
          <w:szCs w:val="18"/>
        </w:rPr>
        <w:t xml:space="preserve"> Bank</w:t>
      </w:r>
      <w:r w:rsidR="00187E0C">
        <w:rPr>
          <w:sz w:val="18"/>
          <w:szCs w:val="18"/>
        </w:rPr>
        <w:t>a</w:t>
      </w:r>
      <w:r w:rsidR="005D1368">
        <w:rPr>
          <w:sz w:val="18"/>
          <w:szCs w:val="18"/>
        </w:rPr>
        <w:t xml:space="preserve"> v určitých případech </w:t>
      </w:r>
      <w:r w:rsidR="00187E0C">
        <w:rPr>
          <w:sz w:val="18"/>
          <w:szCs w:val="18"/>
        </w:rPr>
        <w:t>ne</w:t>
      </w:r>
      <w:r w:rsidR="005D1368">
        <w:rPr>
          <w:sz w:val="18"/>
          <w:szCs w:val="18"/>
        </w:rPr>
        <w:t>účt</w:t>
      </w:r>
      <w:r w:rsidR="00187E0C">
        <w:rPr>
          <w:sz w:val="18"/>
          <w:szCs w:val="18"/>
        </w:rPr>
        <w:t>uje</w:t>
      </w:r>
      <w:r w:rsidR="005D1368">
        <w:rPr>
          <w:sz w:val="18"/>
          <w:szCs w:val="18"/>
        </w:rPr>
        <w:t xml:space="preserve"> </w:t>
      </w:r>
      <w:r w:rsidR="00544404">
        <w:rPr>
          <w:sz w:val="18"/>
          <w:szCs w:val="18"/>
        </w:rPr>
        <w:t>(</w:t>
      </w:r>
      <w:r w:rsidR="005D1368">
        <w:rPr>
          <w:sz w:val="18"/>
          <w:szCs w:val="18"/>
        </w:rPr>
        <w:t>nap</w:t>
      </w:r>
      <w:r w:rsidR="00544404">
        <w:rPr>
          <w:sz w:val="18"/>
          <w:szCs w:val="18"/>
        </w:rPr>
        <w:t>ř.</w:t>
      </w:r>
      <w:r w:rsidR="005D1368">
        <w:rPr>
          <w:sz w:val="18"/>
          <w:szCs w:val="18"/>
        </w:rPr>
        <w:t xml:space="preserve"> s ohledem na dohodu s</w:t>
      </w:r>
      <w:r w:rsidR="00544404">
        <w:rPr>
          <w:sz w:val="18"/>
          <w:szCs w:val="18"/>
        </w:rPr>
        <w:t> </w:t>
      </w:r>
      <w:r w:rsidR="005D1368">
        <w:rPr>
          <w:sz w:val="18"/>
          <w:szCs w:val="18"/>
        </w:rPr>
        <w:t>emitentem</w:t>
      </w:r>
      <w:r w:rsidR="00544404">
        <w:rPr>
          <w:sz w:val="18"/>
          <w:szCs w:val="18"/>
        </w:rPr>
        <w:t xml:space="preserve"> atp.)</w:t>
      </w:r>
      <w:r w:rsidR="005D1368">
        <w:rPr>
          <w:sz w:val="18"/>
          <w:szCs w:val="18"/>
        </w:rPr>
        <w:t>.</w:t>
      </w:r>
    </w:p>
    <w:p w:rsidR="00077059" w:rsidRDefault="00B415B2" w:rsidP="00077059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Zápis do evidence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Zápisem</w:t>
      </w:r>
      <w:r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 xml:space="preserve">do </w:t>
      </w:r>
      <w:r w:rsidR="0058267E">
        <w:rPr>
          <w:sz w:val="18"/>
          <w:szCs w:val="18"/>
        </w:rPr>
        <w:t>E</w:t>
      </w:r>
      <w:r w:rsidRPr="00C70F8A">
        <w:rPr>
          <w:sz w:val="18"/>
          <w:szCs w:val="18"/>
        </w:rPr>
        <w:t xml:space="preserve">vidence se rozumí jakýkoliv zápis údajů na </w:t>
      </w:r>
      <w:r w:rsidR="0066402C" w:rsidRPr="002A73F7">
        <w:rPr>
          <w:sz w:val="18"/>
          <w:szCs w:val="18"/>
        </w:rPr>
        <w:t>majetkovém účtu</w:t>
      </w:r>
      <w:r w:rsidRPr="00C70F8A">
        <w:rPr>
          <w:sz w:val="18"/>
          <w:szCs w:val="18"/>
        </w:rPr>
        <w:t>, zejména při: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zřízení nebo zrušení majetkového účtu;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změně údajů o osobě majitele majetkového účtu;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vydání a zrušení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připsání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na majetkový účet a odepsání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z majetkového účtu;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převodu nebo přechodu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zřízení, změně nebo zániku zástavního práva k 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změně </w:t>
      </w:r>
      <w:r>
        <w:rPr>
          <w:sz w:val="18"/>
          <w:szCs w:val="18"/>
        </w:rPr>
        <w:t>náležitostí</w:t>
      </w:r>
      <w:r w:rsidRPr="00C70F8A">
        <w:rPr>
          <w:sz w:val="18"/>
          <w:szCs w:val="18"/>
        </w:rPr>
        <w:t xml:space="preserve">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zápisu nebo zrušení pozastavení výkonu práva vlastníka nakládat s CP (dále jen „</w:t>
      </w:r>
      <w:r w:rsidRPr="00361DCF">
        <w:rPr>
          <w:b/>
          <w:sz w:val="18"/>
          <w:szCs w:val="18"/>
        </w:rPr>
        <w:t>PPN</w:t>
      </w:r>
      <w:r>
        <w:rPr>
          <w:sz w:val="18"/>
          <w:szCs w:val="18"/>
        </w:rPr>
        <w:t>“)</w:t>
      </w:r>
      <w:r w:rsidR="00CF40AD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provedení speciální operace včetně zápisu do evidence emisí.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Příkaz k zápisu do evidence mohou v souladu se ZPKT, Vyhláškou a těmito Pravidly podat pouze oprávněné osoby (dále jen „</w:t>
      </w:r>
      <w:r w:rsidRPr="00C70F8A">
        <w:rPr>
          <w:b/>
          <w:sz w:val="18"/>
          <w:szCs w:val="18"/>
        </w:rPr>
        <w:t>Oprávněná osoba</w:t>
      </w:r>
      <w:r w:rsidRPr="00C70F8A">
        <w:rPr>
          <w:sz w:val="18"/>
          <w:szCs w:val="18"/>
        </w:rPr>
        <w:t>“), kterými jsou</w:t>
      </w:r>
      <w:r>
        <w:rPr>
          <w:sz w:val="18"/>
          <w:szCs w:val="18"/>
        </w:rPr>
        <w:t>:</w:t>
      </w:r>
    </w:p>
    <w:p w:rsidR="00077059" w:rsidRDefault="00CF40AD" w:rsidP="00077059">
      <w:pPr>
        <w:numPr>
          <w:ilvl w:val="8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e</w:t>
      </w:r>
      <w:r w:rsidR="00B415B2">
        <w:rPr>
          <w:sz w:val="18"/>
          <w:szCs w:val="18"/>
        </w:rPr>
        <w:t>mitent CP, pro kterého je samostatná evidence vedena</w:t>
      </w:r>
      <w:r w:rsidR="0058267E">
        <w:rPr>
          <w:sz w:val="18"/>
          <w:szCs w:val="18"/>
        </w:rPr>
        <w:t>;</w:t>
      </w:r>
    </w:p>
    <w:p w:rsidR="00077059" w:rsidRDefault="00CC734F" w:rsidP="00077059">
      <w:pPr>
        <w:numPr>
          <w:ilvl w:val="8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lastRenderedPageBreak/>
        <w:t>v</w:t>
      </w:r>
      <w:r w:rsidR="00B415B2" w:rsidRPr="00C70F8A">
        <w:rPr>
          <w:sz w:val="18"/>
          <w:szCs w:val="18"/>
        </w:rPr>
        <w:t xml:space="preserve">lastník </w:t>
      </w:r>
      <w:r w:rsidR="00B415B2">
        <w:rPr>
          <w:sz w:val="18"/>
          <w:szCs w:val="18"/>
        </w:rPr>
        <w:t>CP</w:t>
      </w:r>
      <w:r w:rsidR="00B415B2" w:rsidRPr="00C70F8A">
        <w:rPr>
          <w:sz w:val="18"/>
          <w:szCs w:val="18"/>
        </w:rPr>
        <w:t xml:space="preserve">, a to pouze ty příkazy, ke kterým je oprávněn na základě těchto Pravidel, </w:t>
      </w:r>
      <w:r w:rsidR="0058267E">
        <w:rPr>
          <w:sz w:val="18"/>
          <w:szCs w:val="18"/>
        </w:rPr>
        <w:t xml:space="preserve">příslušných </w:t>
      </w:r>
      <w:r w:rsidR="0058267E" w:rsidRPr="0058267E">
        <w:rPr>
          <w:sz w:val="18"/>
          <w:szCs w:val="18"/>
        </w:rPr>
        <w:t>e</w:t>
      </w:r>
      <w:r w:rsidR="00B415B2" w:rsidRPr="0058267E">
        <w:rPr>
          <w:sz w:val="18"/>
          <w:szCs w:val="18"/>
        </w:rPr>
        <w:t>misních podmínek</w:t>
      </w:r>
      <w:r w:rsidR="00B415B2" w:rsidRPr="00C70F8A">
        <w:rPr>
          <w:sz w:val="18"/>
          <w:szCs w:val="18"/>
        </w:rPr>
        <w:t xml:space="preserve">, zvláštní smlouvy s Bankou nebo právních předpisů; </w:t>
      </w:r>
      <w:r w:rsidR="00B415B2">
        <w:rPr>
          <w:sz w:val="18"/>
          <w:szCs w:val="18"/>
        </w:rPr>
        <w:t>a</w:t>
      </w:r>
    </w:p>
    <w:p w:rsidR="00077059" w:rsidRDefault="00B415B2" w:rsidP="00077059">
      <w:pPr>
        <w:numPr>
          <w:ilvl w:val="8"/>
          <w:numId w:val="26"/>
        </w:numPr>
        <w:tabs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jiné osoby, které jsou k tomu oprávněny na základě těchto Pravidel</w:t>
      </w:r>
      <w:r w:rsidR="004C73C0">
        <w:rPr>
          <w:sz w:val="18"/>
          <w:szCs w:val="18"/>
        </w:rPr>
        <w:t xml:space="preserve"> a právních předpisů, případně jiné osoby, které jsou k tomu oprávněny na základě </w:t>
      </w:r>
      <w:r w:rsidR="004C73C0" w:rsidRPr="00C70F8A">
        <w:rPr>
          <w:sz w:val="18"/>
          <w:szCs w:val="18"/>
        </w:rPr>
        <w:t>právních předpisů</w:t>
      </w:r>
      <w:r w:rsidRPr="00C70F8A">
        <w:rPr>
          <w:sz w:val="18"/>
          <w:szCs w:val="18"/>
        </w:rPr>
        <w:t>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before="120" w:after="120"/>
        <w:ind w:left="425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Banka provádí zápisy do evidence i bez příkazů</w:t>
      </w:r>
      <w:r w:rsidR="002964B2">
        <w:rPr>
          <w:sz w:val="18"/>
          <w:szCs w:val="18"/>
        </w:rPr>
        <w:t>, a to</w:t>
      </w:r>
      <w:r>
        <w:rPr>
          <w:sz w:val="18"/>
          <w:szCs w:val="18"/>
        </w:rPr>
        <w:t xml:space="preserve"> zejména v případech, kdy je k tomu oprávněná na základě právních předpisů a </w:t>
      </w:r>
      <w:r w:rsidR="0058267E">
        <w:rPr>
          <w:sz w:val="18"/>
          <w:szCs w:val="18"/>
        </w:rPr>
        <w:t xml:space="preserve">příslušných </w:t>
      </w:r>
      <w:r w:rsidR="0058267E" w:rsidRPr="0058267E">
        <w:rPr>
          <w:sz w:val="18"/>
          <w:szCs w:val="18"/>
        </w:rPr>
        <w:t>e</w:t>
      </w:r>
      <w:r w:rsidRPr="0058267E">
        <w:rPr>
          <w:sz w:val="18"/>
          <w:szCs w:val="18"/>
        </w:rPr>
        <w:t>misních podmínek.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before="120"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Nestanoví-li </w:t>
      </w:r>
      <w:r w:rsidR="0058267E">
        <w:rPr>
          <w:sz w:val="18"/>
          <w:szCs w:val="18"/>
        </w:rPr>
        <w:t xml:space="preserve">příslušné </w:t>
      </w:r>
      <w:r w:rsidR="0058267E" w:rsidRPr="0058267E">
        <w:rPr>
          <w:sz w:val="18"/>
          <w:szCs w:val="18"/>
        </w:rPr>
        <w:t>e</w:t>
      </w:r>
      <w:r w:rsidRPr="0058267E">
        <w:rPr>
          <w:sz w:val="18"/>
          <w:szCs w:val="18"/>
        </w:rPr>
        <w:t>misní podmínky</w:t>
      </w:r>
      <w:r w:rsidRPr="00CC734F">
        <w:rPr>
          <w:sz w:val="18"/>
          <w:szCs w:val="18"/>
        </w:rPr>
        <w:t>,</w:t>
      </w:r>
      <w:r w:rsidRPr="00C70F8A">
        <w:rPr>
          <w:sz w:val="18"/>
          <w:szCs w:val="18"/>
        </w:rPr>
        <w:t xml:space="preserve"> tato Pravidla nebo zvláštní smlouva uzavřená mezi Bankou a Oprávněnou osobou </w:t>
      </w:r>
      <w:r w:rsidR="00CC734F">
        <w:rPr>
          <w:sz w:val="18"/>
          <w:szCs w:val="18"/>
        </w:rPr>
        <w:t xml:space="preserve">nebo emitentem </w:t>
      </w:r>
      <w:r w:rsidRPr="00C70F8A">
        <w:rPr>
          <w:sz w:val="18"/>
          <w:szCs w:val="18"/>
        </w:rPr>
        <w:t xml:space="preserve">jinak, příkaz k zápisu do evidence musí být podán v písemné formě a musí obsahovat veškeré náležitosti vyžadované těmito Pravidly a právním předpisy. </w:t>
      </w:r>
      <w:r>
        <w:rPr>
          <w:sz w:val="18"/>
          <w:szCs w:val="18"/>
        </w:rPr>
        <w:t>Banka je oprávněná vyžadovat, aby byl příkaz podán na formuláři Banky, který Banka Oprávněné osobě poskytne.</w:t>
      </w:r>
    </w:p>
    <w:p w:rsidR="00077059" w:rsidRPr="00E86A45" w:rsidRDefault="0066402C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before="120" w:after="120"/>
        <w:ind w:left="425" w:hanging="425"/>
        <w:jc w:val="both"/>
        <w:textAlignment w:val="auto"/>
        <w:rPr>
          <w:sz w:val="18"/>
          <w:szCs w:val="18"/>
        </w:rPr>
      </w:pPr>
      <w:bookmarkStart w:id="0" w:name="_Ref209578399"/>
      <w:r w:rsidRPr="00E86A45">
        <w:rPr>
          <w:sz w:val="18"/>
          <w:szCs w:val="18"/>
        </w:rPr>
        <w:t>Zvláštní smlouva mezi Bankou a Oprávněnou osobou nebo příslušným emitentem může stanovit jiný režim podávání příkazu k zápisu do evidence, který má v takovém případě přednost před těmito Pravidly.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bookmarkStart w:id="1" w:name="_Ref211056458"/>
      <w:r w:rsidRPr="00C70F8A">
        <w:rPr>
          <w:sz w:val="18"/>
          <w:szCs w:val="18"/>
        </w:rPr>
        <w:t>Banka je oprávněná požadovat,</w:t>
      </w:r>
      <w:bookmarkEnd w:id="0"/>
      <w:bookmarkEnd w:id="1"/>
      <w:r w:rsidRPr="00C70F8A">
        <w:rPr>
          <w:sz w:val="18"/>
          <w:szCs w:val="18"/>
        </w:rPr>
        <w:t xml:space="preserve"> </w:t>
      </w:r>
    </w:p>
    <w:p w:rsidR="00077059" w:rsidRDefault="00B415B2" w:rsidP="00077059">
      <w:pPr>
        <w:numPr>
          <w:ilvl w:val="0"/>
          <w:numId w:val="41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aby jakákoliv osoba jednající </w:t>
      </w:r>
      <w:r w:rsidR="002964B2">
        <w:rPr>
          <w:sz w:val="18"/>
          <w:szCs w:val="18"/>
        </w:rPr>
        <w:t>za</w:t>
      </w:r>
      <w:r w:rsidRPr="00C70F8A">
        <w:rPr>
          <w:sz w:val="18"/>
          <w:szCs w:val="18"/>
        </w:rPr>
        <w:t xml:space="preserve"> jak</w:t>
      </w:r>
      <w:r w:rsidR="002964B2">
        <w:rPr>
          <w:sz w:val="18"/>
          <w:szCs w:val="18"/>
        </w:rPr>
        <w:t>ou</w:t>
      </w:r>
      <w:r w:rsidRPr="00C70F8A">
        <w:rPr>
          <w:sz w:val="18"/>
          <w:szCs w:val="18"/>
        </w:rPr>
        <w:t>koliv jin</w:t>
      </w:r>
      <w:r w:rsidR="002964B2">
        <w:rPr>
          <w:sz w:val="18"/>
          <w:szCs w:val="18"/>
        </w:rPr>
        <w:t>ou</w:t>
      </w:r>
      <w:r w:rsidRPr="00C70F8A">
        <w:rPr>
          <w:sz w:val="18"/>
          <w:szCs w:val="18"/>
        </w:rPr>
        <w:t xml:space="preserve"> osob</w:t>
      </w:r>
      <w:r w:rsidR="002964B2">
        <w:rPr>
          <w:sz w:val="18"/>
          <w:szCs w:val="18"/>
        </w:rPr>
        <w:t>u</w:t>
      </w:r>
      <w:r w:rsidRPr="00C70F8A">
        <w:rPr>
          <w:sz w:val="18"/>
          <w:szCs w:val="18"/>
        </w:rPr>
        <w:t xml:space="preserve"> řádně a dle požadavků Banky prokázala své oprávnění k jednání;</w:t>
      </w:r>
    </w:p>
    <w:p w:rsidR="00077059" w:rsidRDefault="00B415B2" w:rsidP="00077059">
      <w:pPr>
        <w:numPr>
          <w:ilvl w:val="0"/>
          <w:numId w:val="41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bookmarkStart w:id="2" w:name="_Ref209578402"/>
      <w:r w:rsidRPr="00C70F8A">
        <w:rPr>
          <w:sz w:val="18"/>
          <w:szCs w:val="18"/>
        </w:rPr>
        <w:t>aby na jakémkoliv příkazu či jiném předávaném dokumentu byly podpisy osoby oprávněné k podpisu úředně ověřeny v to zahrnujíce vyšší nebo další ověření</w:t>
      </w:r>
      <w:r>
        <w:rPr>
          <w:sz w:val="18"/>
          <w:szCs w:val="18"/>
        </w:rPr>
        <w:t xml:space="preserve"> případně </w:t>
      </w:r>
      <w:proofErr w:type="spellStart"/>
      <w:r>
        <w:rPr>
          <w:sz w:val="18"/>
          <w:szCs w:val="18"/>
        </w:rPr>
        <w:t>apostilu</w:t>
      </w:r>
      <w:proofErr w:type="spellEnd"/>
      <w:r>
        <w:rPr>
          <w:sz w:val="18"/>
          <w:szCs w:val="18"/>
        </w:rPr>
        <w:t xml:space="preserve"> dle haagské ú</w:t>
      </w:r>
      <w:r w:rsidRPr="00C70F8A">
        <w:rPr>
          <w:sz w:val="18"/>
          <w:szCs w:val="18"/>
        </w:rPr>
        <w:t xml:space="preserve">mluvy o </w:t>
      </w:r>
      <w:proofErr w:type="spellStart"/>
      <w:r w:rsidRPr="00C70F8A">
        <w:rPr>
          <w:sz w:val="18"/>
          <w:szCs w:val="18"/>
        </w:rPr>
        <w:t>apostilaci</w:t>
      </w:r>
      <w:proofErr w:type="spellEnd"/>
      <w:r w:rsidRPr="00C70F8A">
        <w:rPr>
          <w:sz w:val="18"/>
          <w:szCs w:val="18"/>
        </w:rPr>
        <w:t xml:space="preserve"> a/nebo aby byly takové dokumenty podepsány před zaměstnancem Banky;</w:t>
      </w:r>
      <w:bookmarkEnd w:id="2"/>
      <w:r w:rsidRPr="00C70F8A">
        <w:rPr>
          <w:sz w:val="18"/>
          <w:szCs w:val="18"/>
        </w:rPr>
        <w:t xml:space="preserve"> </w:t>
      </w:r>
    </w:p>
    <w:p w:rsidR="00077059" w:rsidRDefault="00B415B2" w:rsidP="00077059">
      <w:pPr>
        <w:numPr>
          <w:ilvl w:val="0"/>
          <w:numId w:val="41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úředně ověřené překlady dokumentů, které nejsou vyhotoveny v českém jazyce;</w:t>
      </w:r>
    </w:p>
    <w:p w:rsidR="00077059" w:rsidRDefault="00B415B2" w:rsidP="00077059">
      <w:pPr>
        <w:numPr>
          <w:ilvl w:val="0"/>
          <w:numId w:val="41"/>
        </w:numPr>
        <w:overflowPunct/>
        <w:autoSpaceDE/>
        <w:autoSpaceDN/>
        <w:adjustRightInd/>
        <w:spacing w:after="240"/>
        <w:ind w:left="782" w:hanging="357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jakékoliv dokumenty či informace výslovně nespecifikované v těchto Pravidlech, bude-li to</w:t>
      </w:r>
      <w:r>
        <w:rPr>
          <w:sz w:val="18"/>
          <w:szCs w:val="18"/>
        </w:rPr>
        <w:t xml:space="preserve"> Banka</w:t>
      </w:r>
      <w:r w:rsidRPr="00C70F8A">
        <w:rPr>
          <w:sz w:val="18"/>
          <w:szCs w:val="18"/>
        </w:rPr>
        <w:t xml:space="preserve"> s ohledem na povinnost odborné péče považovat za nutné. 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je oprávněna nepřijmout příkaz k zápisu do </w:t>
      </w:r>
      <w:r w:rsidR="0058267E">
        <w:rPr>
          <w:sz w:val="18"/>
          <w:szCs w:val="18"/>
        </w:rPr>
        <w:t>E</w:t>
      </w:r>
      <w:r w:rsidRPr="00C70F8A">
        <w:rPr>
          <w:sz w:val="18"/>
          <w:szCs w:val="18"/>
        </w:rPr>
        <w:t>vidence</w:t>
      </w:r>
      <w:r>
        <w:rPr>
          <w:sz w:val="18"/>
          <w:szCs w:val="18"/>
        </w:rPr>
        <w:t>,</w:t>
      </w:r>
      <w:r w:rsidRPr="00C70F8A">
        <w:rPr>
          <w:sz w:val="18"/>
          <w:szCs w:val="18"/>
        </w:rPr>
        <w:t xml:space="preserve"> pokud</w:t>
      </w:r>
      <w:r>
        <w:rPr>
          <w:sz w:val="18"/>
          <w:szCs w:val="18"/>
        </w:rPr>
        <w:t xml:space="preserve"> příkaz</w:t>
      </w:r>
      <w:r w:rsidRPr="00C70F8A">
        <w:rPr>
          <w:sz w:val="18"/>
          <w:szCs w:val="18"/>
        </w:rPr>
        <w:t>:</w:t>
      </w:r>
    </w:p>
    <w:p w:rsidR="00077059" w:rsidRDefault="00B415B2" w:rsidP="00077059">
      <w:pPr>
        <w:numPr>
          <w:ilvl w:val="0"/>
          <w:numId w:val="31"/>
        </w:numPr>
        <w:tabs>
          <w:tab w:val="clear" w:pos="1566"/>
          <w:tab w:val="num" w:pos="851"/>
        </w:tabs>
        <w:overflowPunct/>
        <w:autoSpaceDE/>
        <w:autoSpaceDN/>
        <w:adjustRightInd/>
        <w:spacing w:after="120"/>
        <w:ind w:left="850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neobsahuje veškeré potřebné údaje</w:t>
      </w:r>
      <w:r>
        <w:rPr>
          <w:sz w:val="18"/>
          <w:szCs w:val="18"/>
        </w:rPr>
        <w:t xml:space="preserve"> a přílohy</w:t>
      </w:r>
      <w:r w:rsidRPr="00C70F8A">
        <w:rPr>
          <w:sz w:val="18"/>
          <w:szCs w:val="18"/>
        </w:rPr>
        <w:t xml:space="preserve"> nebo je jinak neúplný, nesprávný, neurčitý nebo nesrozumitelný nebo o jehož pravosti má Banka opodstatněné pochybnosti;</w:t>
      </w:r>
    </w:p>
    <w:p w:rsidR="00077059" w:rsidRDefault="00B415B2" w:rsidP="00077059">
      <w:pPr>
        <w:numPr>
          <w:ilvl w:val="0"/>
          <w:numId w:val="31"/>
        </w:numPr>
        <w:tabs>
          <w:tab w:val="clear" w:pos="1566"/>
          <w:tab w:val="num" w:pos="426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je podán z jiného důvodu v rozporu s těmito Pravidly nebo právními předpisy.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before="120"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Banka oznámí Klientovi nepřijetí příkazu způsobem</w:t>
      </w:r>
      <w:r>
        <w:rPr>
          <w:sz w:val="18"/>
          <w:szCs w:val="18"/>
        </w:rPr>
        <w:t>,</w:t>
      </w:r>
      <w:r w:rsidRPr="00C70F8A">
        <w:rPr>
          <w:sz w:val="18"/>
          <w:szCs w:val="18"/>
        </w:rPr>
        <w:t xml:space="preserve"> jakým byl příkaz Bance podán</w:t>
      </w:r>
      <w:r>
        <w:rPr>
          <w:sz w:val="18"/>
          <w:szCs w:val="18"/>
        </w:rPr>
        <w:t>,</w:t>
      </w:r>
      <w:r w:rsidRPr="00C70F8A">
        <w:rPr>
          <w:sz w:val="18"/>
          <w:szCs w:val="18"/>
        </w:rPr>
        <w:t xml:space="preserve"> nebo písemně</w:t>
      </w:r>
      <w:r>
        <w:rPr>
          <w:sz w:val="18"/>
          <w:szCs w:val="18"/>
        </w:rPr>
        <w:t xml:space="preserve"> (bude-li to s ohledem na obsah příkazu možné)</w:t>
      </w:r>
      <w:r w:rsidRPr="00C70F8A">
        <w:rPr>
          <w:sz w:val="18"/>
          <w:szCs w:val="18"/>
        </w:rPr>
        <w:t>, a to bez zbytečného odkladu po jeho obdržení.</w:t>
      </w:r>
    </w:p>
    <w:p w:rsidR="00077059" w:rsidRDefault="00B415B2" w:rsidP="00077059">
      <w:pPr>
        <w:numPr>
          <w:ilvl w:val="1"/>
          <w:numId w:val="28"/>
        </w:numPr>
        <w:tabs>
          <w:tab w:val="clear" w:pos="57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Banka neodpovídá za správnost, úplnost nebo včasnost příkazu k zápisu do evidence podaného Oprávněnou osobou. Banka při zpracování příkazů k zápisu do evidence respektuje časovou prioritu jejich podání. Banka</w:t>
      </w:r>
      <w:r>
        <w:rPr>
          <w:sz w:val="18"/>
          <w:szCs w:val="18"/>
        </w:rPr>
        <w:t xml:space="preserve"> písemně</w:t>
      </w:r>
      <w:r w:rsidRPr="00C70F8A">
        <w:rPr>
          <w:sz w:val="18"/>
          <w:szCs w:val="18"/>
        </w:rPr>
        <w:t xml:space="preserve"> informuje Oprávněnou osobu o provedení příkazu k zápisu do </w:t>
      </w:r>
      <w:r w:rsidR="00700D28">
        <w:rPr>
          <w:sz w:val="18"/>
          <w:szCs w:val="18"/>
        </w:rPr>
        <w:t>E</w:t>
      </w:r>
      <w:r w:rsidRPr="00C70F8A">
        <w:rPr>
          <w:sz w:val="18"/>
          <w:szCs w:val="18"/>
        </w:rPr>
        <w:t>vidence.</w:t>
      </w:r>
    </w:p>
    <w:p w:rsidR="00077059" w:rsidRDefault="00B415B2" w:rsidP="00077059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Majetkové účty</w:t>
      </w:r>
    </w:p>
    <w:p w:rsidR="00077059" w:rsidRDefault="00B415B2" w:rsidP="00077059">
      <w:pPr>
        <w:numPr>
          <w:ilvl w:val="1"/>
          <w:numId w:val="29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eviduje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na majetkov</w:t>
      </w:r>
      <w:r>
        <w:rPr>
          <w:sz w:val="18"/>
          <w:szCs w:val="18"/>
        </w:rPr>
        <w:t>ém</w:t>
      </w:r>
      <w:r w:rsidRPr="00C70F8A">
        <w:rPr>
          <w:sz w:val="18"/>
          <w:szCs w:val="18"/>
        </w:rPr>
        <w:t xml:space="preserve"> účt</w:t>
      </w:r>
      <w:r>
        <w:rPr>
          <w:sz w:val="18"/>
          <w:szCs w:val="18"/>
        </w:rPr>
        <w:t>u</w:t>
      </w:r>
      <w:r w:rsidRPr="00C70F8A">
        <w:rPr>
          <w:sz w:val="18"/>
          <w:szCs w:val="18"/>
        </w:rPr>
        <w:t xml:space="preserve"> veden</w:t>
      </w:r>
      <w:r>
        <w:rPr>
          <w:sz w:val="18"/>
          <w:szCs w:val="18"/>
        </w:rPr>
        <w:t>ém</w:t>
      </w:r>
      <w:r w:rsidRPr="00C70F8A">
        <w:rPr>
          <w:sz w:val="18"/>
          <w:szCs w:val="18"/>
        </w:rPr>
        <w:t xml:space="preserve"> pro</w:t>
      </w:r>
    </w:p>
    <w:p w:rsidR="00077059" w:rsidRDefault="00B415B2" w:rsidP="00077059">
      <w:pPr>
        <w:numPr>
          <w:ilvl w:val="7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0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osobu, která je vlastníkem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evidovaných na tomto účtu (dále jen „</w:t>
      </w:r>
      <w:r w:rsidRPr="00501C51">
        <w:rPr>
          <w:b/>
          <w:sz w:val="18"/>
          <w:szCs w:val="18"/>
        </w:rPr>
        <w:t>účet vlastníka</w:t>
      </w:r>
      <w:r w:rsidRPr="00C70F8A">
        <w:rPr>
          <w:sz w:val="18"/>
          <w:szCs w:val="18"/>
        </w:rPr>
        <w:t>“); nebo</w:t>
      </w:r>
    </w:p>
    <w:p w:rsidR="00077059" w:rsidRDefault="00B415B2" w:rsidP="00077059">
      <w:pPr>
        <w:numPr>
          <w:ilvl w:val="7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emitenta, pokud CP nevlastní investoři</w:t>
      </w:r>
      <w:r w:rsidR="008F0653">
        <w:rPr>
          <w:sz w:val="18"/>
          <w:szCs w:val="18"/>
        </w:rPr>
        <w:t>.</w:t>
      </w:r>
    </w:p>
    <w:p w:rsidR="00077059" w:rsidRDefault="00B415B2" w:rsidP="00077059">
      <w:pPr>
        <w:numPr>
          <w:ilvl w:val="1"/>
          <w:numId w:val="29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bookmarkStart w:id="3" w:name="_Ref209435251"/>
      <w:r w:rsidRPr="00C70F8A">
        <w:rPr>
          <w:sz w:val="18"/>
          <w:szCs w:val="18"/>
        </w:rPr>
        <w:t>Účet vlastníka obsahuje zejména následující údaje</w:t>
      </w:r>
      <w:bookmarkEnd w:id="3"/>
      <w:r>
        <w:rPr>
          <w:sz w:val="18"/>
          <w:szCs w:val="18"/>
        </w:rPr>
        <w:t>:</w:t>
      </w:r>
    </w:p>
    <w:p w:rsidR="00077059" w:rsidRDefault="00B415B2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bookmarkStart w:id="4" w:name="_Ref209435258"/>
      <w:r w:rsidRPr="00C70F8A">
        <w:rPr>
          <w:sz w:val="18"/>
          <w:szCs w:val="18"/>
        </w:rPr>
        <w:t>číslo majetkového účtu</w:t>
      </w:r>
      <w:bookmarkEnd w:id="4"/>
      <w:r w:rsidRPr="009E2DE6">
        <w:rPr>
          <w:sz w:val="18"/>
          <w:szCs w:val="18"/>
        </w:rPr>
        <w:t>;</w:t>
      </w:r>
    </w:p>
    <w:p w:rsidR="00077059" w:rsidRDefault="00B415B2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údaj, že se jedná o účet vlastníka</w:t>
      </w:r>
      <w:r>
        <w:rPr>
          <w:sz w:val="18"/>
          <w:szCs w:val="18"/>
        </w:rPr>
        <w:t xml:space="preserve"> nebo emitenta;</w:t>
      </w:r>
    </w:p>
    <w:p w:rsidR="00077059" w:rsidRDefault="00B415B2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bookmarkStart w:id="5" w:name="_Ref209435155"/>
      <w:r w:rsidRPr="00C70F8A">
        <w:rPr>
          <w:sz w:val="18"/>
          <w:szCs w:val="18"/>
        </w:rPr>
        <w:t>identifikaci majitele účtu, tj.</w:t>
      </w:r>
      <w:bookmarkEnd w:id="5"/>
      <w:r w:rsidRPr="00C70F8A">
        <w:rPr>
          <w:sz w:val="18"/>
          <w:szCs w:val="18"/>
        </w:rPr>
        <w:t xml:space="preserve"> </w:t>
      </w:r>
    </w:p>
    <w:p w:rsidR="00077059" w:rsidRDefault="00B415B2" w:rsidP="00077059">
      <w:pPr>
        <w:numPr>
          <w:ilvl w:val="0"/>
          <w:numId w:val="30"/>
        </w:numPr>
        <w:tabs>
          <w:tab w:val="clear" w:pos="1571"/>
          <w:tab w:val="num" w:pos="1276"/>
        </w:tabs>
        <w:overflowPunct/>
        <w:autoSpaceDE/>
        <w:autoSpaceDN/>
        <w:adjustRightInd/>
        <w:spacing w:after="120"/>
        <w:ind w:left="1276" w:hanging="425"/>
        <w:jc w:val="both"/>
        <w:textAlignment w:val="auto"/>
        <w:rPr>
          <w:sz w:val="18"/>
          <w:szCs w:val="18"/>
        </w:rPr>
      </w:pPr>
      <w:bookmarkStart w:id="6" w:name="_Ref209933937"/>
      <w:r w:rsidRPr="00C70F8A">
        <w:rPr>
          <w:sz w:val="18"/>
          <w:szCs w:val="18"/>
        </w:rPr>
        <w:t>u právnické osoby obchodní firma nebo název, sídlo a identif</w:t>
      </w:r>
      <w:r>
        <w:rPr>
          <w:sz w:val="18"/>
          <w:szCs w:val="18"/>
        </w:rPr>
        <w:t>ikační číslo nebo jiná identifikace,</w:t>
      </w:r>
      <w:r w:rsidRPr="00C70F8A">
        <w:rPr>
          <w:sz w:val="18"/>
          <w:szCs w:val="18"/>
        </w:rPr>
        <w:t xml:space="preserve"> pokud identifikační číslo nebylo přiděleno; a</w:t>
      </w:r>
      <w:bookmarkEnd w:id="6"/>
    </w:p>
    <w:p w:rsidR="00077059" w:rsidRDefault="00B415B2" w:rsidP="00077059">
      <w:pPr>
        <w:numPr>
          <w:ilvl w:val="0"/>
          <w:numId w:val="30"/>
        </w:numPr>
        <w:tabs>
          <w:tab w:val="clear" w:pos="1571"/>
          <w:tab w:val="num" w:pos="1276"/>
        </w:tabs>
        <w:overflowPunct/>
        <w:autoSpaceDE/>
        <w:autoSpaceDN/>
        <w:adjustRightInd/>
        <w:spacing w:after="120"/>
        <w:ind w:left="1276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u fyzické osoby jméno a příjmení, </w:t>
      </w:r>
      <w:r>
        <w:rPr>
          <w:sz w:val="18"/>
          <w:szCs w:val="18"/>
        </w:rPr>
        <w:t>rodné číslo nebo jiná identifikace,</w:t>
      </w:r>
      <w:r w:rsidRPr="00C70F8A">
        <w:rPr>
          <w:sz w:val="18"/>
          <w:szCs w:val="18"/>
        </w:rPr>
        <w:t xml:space="preserve"> pokud rodné číslo nebylo</w:t>
      </w:r>
      <w:r>
        <w:rPr>
          <w:sz w:val="18"/>
          <w:szCs w:val="18"/>
        </w:rPr>
        <w:t xml:space="preserve"> přiděleno, adresa</w:t>
      </w:r>
      <w:r w:rsidRPr="00C70F8A">
        <w:rPr>
          <w:sz w:val="18"/>
          <w:szCs w:val="18"/>
        </w:rPr>
        <w:t xml:space="preserve"> bydliště; u podnikatele zapsaného do obchodního rejstříku obchodní firma, popřípadě místo podnikání, a identifikační číslo nebo jiná identifikace pokud identifikační číslo nebylo přiděleno;</w:t>
      </w:r>
    </w:p>
    <w:p w:rsidR="00077059" w:rsidRDefault="00B415B2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bookmarkStart w:id="7" w:name="_Ref209435266"/>
      <w:bookmarkStart w:id="8" w:name="_Ref209436343"/>
      <w:r>
        <w:rPr>
          <w:sz w:val="18"/>
          <w:szCs w:val="18"/>
        </w:rPr>
        <w:lastRenderedPageBreak/>
        <w:t>identifikace CP</w:t>
      </w:r>
      <w:r w:rsidRPr="00C70F8A">
        <w:rPr>
          <w:sz w:val="18"/>
          <w:szCs w:val="18"/>
        </w:rPr>
        <w:t xml:space="preserve"> zejména</w:t>
      </w:r>
      <w:r>
        <w:rPr>
          <w:sz w:val="18"/>
          <w:szCs w:val="18"/>
        </w:rPr>
        <w:t xml:space="preserve"> název,</w:t>
      </w:r>
      <w:r w:rsidRPr="00C70F8A">
        <w:rPr>
          <w:sz w:val="18"/>
          <w:szCs w:val="18"/>
        </w:rPr>
        <w:t xml:space="preserve"> ISIN, počet </w:t>
      </w:r>
      <w:r>
        <w:rPr>
          <w:sz w:val="18"/>
          <w:szCs w:val="18"/>
        </w:rPr>
        <w:t xml:space="preserve">kusů CP </w:t>
      </w:r>
      <w:r w:rsidRPr="00C70F8A">
        <w:rPr>
          <w:sz w:val="18"/>
          <w:szCs w:val="18"/>
        </w:rPr>
        <w:t>a celková jmenovitá hodnota;</w:t>
      </w:r>
      <w:bookmarkEnd w:id="7"/>
      <w:bookmarkEnd w:id="8"/>
    </w:p>
    <w:p w:rsidR="00077059" w:rsidRDefault="00B415B2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bookmarkStart w:id="9" w:name="_Ref209435271"/>
      <w:r w:rsidRPr="00C70F8A">
        <w:rPr>
          <w:sz w:val="18"/>
          <w:szCs w:val="18"/>
        </w:rPr>
        <w:t>údaj o zástavním právu</w:t>
      </w:r>
      <w:r>
        <w:rPr>
          <w:sz w:val="18"/>
          <w:szCs w:val="18"/>
        </w:rPr>
        <w:t xml:space="preserve">, </w:t>
      </w:r>
      <w:r w:rsidRPr="00C70F8A">
        <w:rPr>
          <w:sz w:val="18"/>
          <w:szCs w:val="18"/>
        </w:rPr>
        <w:t>zástavním věřiteli</w:t>
      </w:r>
      <w:r>
        <w:rPr>
          <w:sz w:val="18"/>
          <w:szCs w:val="18"/>
        </w:rPr>
        <w:t xml:space="preserve"> a zástavním dlužníku (je-li odlišný od zástavce)</w:t>
      </w:r>
      <w:r w:rsidRPr="00C70F8A">
        <w:rPr>
          <w:sz w:val="18"/>
          <w:szCs w:val="18"/>
        </w:rPr>
        <w:t xml:space="preserve"> v rozsahu identifikace majitele účtu dle písm. </w:t>
      </w:r>
      <w:fldSimple w:instr=" REF _Ref209435155 \r \h  \* MERGEFORMAT ">
        <w:r w:rsidR="0041431D" w:rsidRPr="0041431D">
          <w:rPr>
            <w:sz w:val="18"/>
            <w:szCs w:val="18"/>
          </w:rPr>
          <w:t>(c)</w:t>
        </w:r>
      </w:fldSimple>
      <w:r w:rsidRPr="00C70F8A">
        <w:rPr>
          <w:sz w:val="18"/>
          <w:szCs w:val="18"/>
        </w:rPr>
        <w:t xml:space="preserve"> toho odstavce</w:t>
      </w:r>
      <w:r w:rsidR="00700D28">
        <w:rPr>
          <w:sz w:val="18"/>
          <w:szCs w:val="18"/>
        </w:rPr>
        <w:t>;</w:t>
      </w:r>
    </w:p>
    <w:p w:rsidR="00077059" w:rsidRDefault="00700D28" w:rsidP="00077059">
      <w:pPr>
        <w:numPr>
          <w:ilvl w:val="8"/>
          <w:numId w:val="41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údaje o PPN.</w:t>
      </w:r>
      <w:bookmarkEnd w:id="9"/>
    </w:p>
    <w:p w:rsidR="00077059" w:rsidRDefault="00B415B2" w:rsidP="00077059">
      <w:pPr>
        <w:numPr>
          <w:ilvl w:val="1"/>
          <w:numId w:val="29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Majitelé majetkových účtů </w:t>
      </w:r>
      <w:r>
        <w:rPr>
          <w:sz w:val="18"/>
          <w:szCs w:val="18"/>
        </w:rPr>
        <w:t xml:space="preserve">i emitenti </w:t>
      </w:r>
      <w:r w:rsidRPr="00C70F8A">
        <w:rPr>
          <w:sz w:val="18"/>
          <w:szCs w:val="18"/>
        </w:rPr>
        <w:t>jsou povinni aktualizovat své identifikační údaje</w:t>
      </w:r>
      <w:r>
        <w:rPr>
          <w:sz w:val="18"/>
          <w:szCs w:val="18"/>
        </w:rPr>
        <w:t xml:space="preserve"> zapsané v evidenci</w:t>
      </w:r>
      <w:r w:rsidRPr="00C70F8A">
        <w:rPr>
          <w:sz w:val="18"/>
          <w:szCs w:val="18"/>
        </w:rPr>
        <w:t xml:space="preserve"> a bez zbytečného odkladu podat příkaz k zápisu změny. </w:t>
      </w:r>
    </w:p>
    <w:p w:rsidR="00077059" w:rsidRDefault="00B415B2" w:rsidP="00077059">
      <w:pPr>
        <w:numPr>
          <w:ilvl w:val="1"/>
          <w:numId w:val="29"/>
        </w:numPr>
        <w:tabs>
          <w:tab w:val="clear" w:pos="57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neodpovídá za škodu vzniklou v důsledku uvedení nesprávných, nepravdivých nebo neúplných údajů v příkazu k zápisu nebo ke změně identifikačních údajů </w:t>
      </w:r>
      <w:r>
        <w:rPr>
          <w:sz w:val="18"/>
          <w:szCs w:val="18"/>
        </w:rPr>
        <w:t xml:space="preserve">u </w:t>
      </w:r>
      <w:proofErr w:type="gramStart"/>
      <w:r w:rsidRPr="00C70F8A">
        <w:rPr>
          <w:sz w:val="18"/>
          <w:szCs w:val="18"/>
        </w:rPr>
        <w:t>majetkového</w:t>
      </w:r>
      <w:proofErr w:type="gramEnd"/>
      <w:r w:rsidRPr="00C70F8A">
        <w:rPr>
          <w:sz w:val="18"/>
          <w:szCs w:val="18"/>
        </w:rPr>
        <w:t xml:space="preserve"> účtů.</w:t>
      </w:r>
    </w:p>
    <w:p w:rsidR="00077059" w:rsidRDefault="00B415B2" w:rsidP="00077059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Zřízení a zrušení majetkového účtu</w:t>
      </w:r>
    </w:p>
    <w:p w:rsidR="00077059" w:rsidRDefault="00B415B2" w:rsidP="00077059">
      <w:pPr>
        <w:numPr>
          <w:ilvl w:val="1"/>
          <w:numId w:val="32"/>
        </w:numPr>
        <w:tabs>
          <w:tab w:val="clear" w:pos="39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bookmarkStart w:id="10" w:name="_Ref210558829"/>
      <w:r w:rsidRPr="00C70F8A">
        <w:rPr>
          <w:sz w:val="18"/>
          <w:szCs w:val="18"/>
        </w:rPr>
        <w:t>Banka zřídí účet</w:t>
      </w:r>
      <w:r>
        <w:rPr>
          <w:sz w:val="18"/>
          <w:szCs w:val="18"/>
        </w:rPr>
        <w:t xml:space="preserve"> vlastníka </w:t>
      </w:r>
      <w:r w:rsidRPr="00C70F8A">
        <w:rPr>
          <w:sz w:val="18"/>
          <w:szCs w:val="18"/>
        </w:rPr>
        <w:t>na základě příkazu pro každou osobu</w:t>
      </w:r>
      <w:r>
        <w:rPr>
          <w:sz w:val="18"/>
          <w:szCs w:val="18"/>
        </w:rPr>
        <w:t>:</w:t>
      </w:r>
      <w:bookmarkEnd w:id="10"/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Kterou ji </w:t>
      </w:r>
      <w:r w:rsidR="0058267E" w:rsidRPr="0058267E">
        <w:rPr>
          <w:sz w:val="18"/>
          <w:szCs w:val="18"/>
        </w:rPr>
        <w:t>e</w:t>
      </w:r>
      <w:r w:rsidRPr="0058267E">
        <w:rPr>
          <w:sz w:val="18"/>
          <w:szCs w:val="18"/>
        </w:rPr>
        <w:t>mitent</w:t>
      </w:r>
      <w:r>
        <w:rPr>
          <w:sz w:val="18"/>
          <w:szCs w:val="18"/>
        </w:rPr>
        <w:t xml:space="preserve"> </w:t>
      </w:r>
      <w:r w:rsidR="00784A00">
        <w:rPr>
          <w:sz w:val="18"/>
          <w:szCs w:val="18"/>
        </w:rPr>
        <w:t xml:space="preserve">CP </w:t>
      </w:r>
      <w:r>
        <w:rPr>
          <w:sz w:val="18"/>
          <w:szCs w:val="18"/>
        </w:rPr>
        <w:t>oznámí jako vlastníka CP včetně všech identifikačních údajů (upsaného či imobilizovaného)</w:t>
      </w:r>
      <w:r w:rsidR="00784A00">
        <w:rPr>
          <w:sz w:val="18"/>
          <w:szCs w:val="18"/>
        </w:rPr>
        <w:t>;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na kterou budou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převedeny</w:t>
      </w:r>
      <w:r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>za předpokladu, že taková osoba poskytne Ban</w:t>
      </w:r>
      <w:r>
        <w:rPr>
          <w:sz w:val="18"/>
          <w:szCs w:val="18"/>
        </w:rPr>
        <w:t>ce požadované údaje a dokumenty dle těchto Pravidel</w:t>
      </w:r>
      <w:r w:rsidRPr="00C70F8A">
        <w:rPr>
          <w:sz w:val="18"/>
          <w:szCs w:val="18"/>
        </w:rPr>
        <w:t>; nebo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bookmarkStart w:id="11" w:name="_Ref210558834"/>
      <w:r w:rsidRPr="00C70F8A">
        <w:rPr>
          <w:sz w:val="18"/>
          <w:szCs w:val="18"/>
        </w:rPr>
        <w:t xml:space="preserve">na kterou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přejdou</w:t>
      </w:r>
      <w:r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>za předpokladu, že taková osoba poskytne Ban</w:t>
      </w:r>
      <w:r>
        <w:rPr>
          <w:sz w:val="18"/>
          <w:szCs w:val="18"/>
        </w:rPr>
        <w:t>ce požadované údaje a dokumenty dle těchto Pravidel</w:t>
      </w:r>
      <w:r w:rsidR="008F0653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bookmarkEnd w:id="11"/>
    </w:p>
    <w:p w:rsidR="00077059" w:rsidRDefault="00B415B2" w:rsidP="00077059">
      <w:pPr>
        <w:numPr>
          <w:ilvl w:val="1"/>
          <w:numId w:val="32"/>
        </w:numPr>
        <w:tabs>
          <w:tab w:val="clear" w:pos="39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Banka je oprávněná požadovat, aby p</w:t>
      </w:r>
      <w:r w:rsidRPr="00C70F8A">
        <w:rPr>
          <w:sz w:val="18"/>
          <w:szCs w:val="18"/>
        </w:rPr>
        <w:t>říkaz ke zřízení majetkového účtu obsahova</w:t>
      </w:r>
      <w:r>
        <w:rPr>
          <w:sz w:val="18"/>
          <w:szCs w:val="18"/>
        </w:rPr>
        <w:t xml:space="preserve">l minimálně </w:t>
      </w:r>
      <w:r w:rsidRPr="00C70F8A">
        <w:rPr>
          <w:sz w:val="18"/>
          <w:szCs w:val="18"/>
        </w:rPr>
        <w:t xml:space="preserve">identifikační údaje majitele účtu v rozsahu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3.2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sz w:val="18"/>
            <w:szCs w:val="18"/>
          </w:rPr>
          <w:t>(c)</w:t>
        </w:r>
      </w:fldSimple>
      <w:r w:rsidR="008F0653">
        <w:rPr>
          <w:sz w:val="18"/>
          <w:szCs w:val="18"/>
        </w:rPr>
        <w:t>.</w:t>
      </w:r>
    </w:p>
    <w:p w:rsidR="00077059" w:rsidRDefault="00B415B2" w:rsidP="00077059">
      <w:pPr>
        <w:numPr>
          <w:ilvl w:val="1"/>
          <w:numId w:val="32"/>
        </w:numPr>
        <w:tabs>
          <w:tab w:val="clear" w:pos="39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Majetkový účet nelze zrušit, dokud jsou na něm evidovány </w:t>
      </w:r>
      <w:r>
        <w:rPr>
          <w:sz w:val="18"/>
          <w:szCs w:val="18"/>
        </w:rPr>
        <w:t>CP.</w:t>
      </w:r>
      <w:r w:rsidRPr="00C70F8A">
        <w:rPr>
          <w:sz w:val="18"/>
          <w:szCs w:val="18"/>
        </w:rPr>
        <w:t xml:space="preserve"> </w:t>
      </w:r>
    </w:p>
    <w:p w:rsidR="00077059" w:rsidRDefault="0066402C" w:rsidP="00077059">
      <w:pPr>
        <w:numPr>
          <w:ilvl w:val="1"/>
          <w:numId w:val="32"/>
        </w:numPr>
        <w:tabs>
          <w:tab w:val="clear" w:pos="39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8D3C6F">
        <w:rPr>
          <w:sz w:val="18"/>
          <w:szCs w:val="18"/>
        </w:rPr>
        <w:t>Banka zruší majetkový účet na základě příkazu majitele majetkového účtu</w:t>
      </w:r>
      <w:r w:rsidR="00B415B2" w:rsidRPr="00CF58A3">
        <w:rPr>
          <w:sz w:val="18"/>
          <w:szCs w:val="18"/>
        </w:rPr>
        <w:t xml:space="preserve">. Příkaz ke zrušení musí minimálně obsahovat identifikační označení účtu a identifikaci majitele účtu. Banka může zrušit majetkový účet i bez příkazu majitele, za předpokladu, že na majetkovém účtu nejsou evidovány žádné CP po dobu jednoho (1) roku. </w:t>
      </w:r>
    </w:p>
    <w:p w:rsidR="00077059" w:rsidRDefault="00B415B2" w:rsidP="00077059">
      <w:pPr>
        <w:numPr>
          <w:ilvl w:val="1"/>
          <w:numId w:val="32"/>
        </w:numPr>
        <w:tabs>
          <w:tab w:val="clear" w:pos="39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Příkaz ke zřízení, změně nebo </w:t>
      </w:r>
      <w:r w:rsidR="0066402C" w:rsidRPr="008D3C6F">
        <w:rPr>
          <w:sz w:val="18"/>
          <w:szCs w:val="18"/>
        </w:rPr>
        <w:t>zrušení</w:t>
      </w:r>
      <w:r>
        <w:rPr>
          <w:sz w:val="18"/>
          <w:szCs w:val="18"/>
        </w:rPr>
        <w:t xml:space="preserve"> majetkového účtu musí být podepsán oprávněnou osobou, jejíž podpis musí být úředně ověřen v rozsahu odstavce </w:t>
      </w:r>
      <w:proofErr w:type="gramStart"/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_Ref211056458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2.6</w:t>
      </w:r>
      <w:r w:rsidR="006A6D31">
        <w:rPr>
          <w:sz w:val="18"/>
          <w:szCs w:val="18"/>
        </w:rPr>
        <w:fldChar w:fldCharType="end"/>
      </w:r>
      <w:proofErr w:type="gramEnd"/>
      <w:r>
        <w:rPr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sz w:val="18"/>
            <w:szCs w:val="18"/>
          </w:rPr>
          <w:t>(b)</w:t>
        </w:r>
      </w:fldSimple>
      <w:r>
        <w:rPr>
          <w:sz w:val="18"/>
          <w:szCs w:val="18"/>
        </w:rPr>
        <w:t xml:space="preserve"> </w:t>
      </w:r>
      <w:r w:rsidR="0049710C">
        <w:rPr>
          <w:sz w:val="18"/>
          <w:szCs w:val="18"/>
        </w:rPr>
        <w:t xml:space="preserve">těchto Podmínek </w:t>
      </w:r>
      <w:r>
        <w:rPr>
          <w:sz w:val="18"/>
          <w:szCs w:val="18"/>
        </w:rPr>
        <w:t xml:space="preserve">nebo musí být podepsán před zaměstnancem Banky. Právnická osoba a jiné osoby zapsané v obchodním rejstříku nebo jiné obdobné evidenci vedené v zahraničí musí </w:t>
      </w:r>
      <w:r w:rsidR="0049710C">
        <w:rPr>
          <w:sz w:val="18"/>
          <w:szCs w:val="18"/>
        </w:rPr>
        <w:t xml:space="preserve">na výzvu Banky </w:t>
      </w:r>
      <w:r>
        <w:rPr>
          <w:sz w:val="18"/>
          <w:szCs w:val="18"/>
        </w:rPr>
        <w:t>spolu s příkazem doručit Bance originál nebo úředně ověřenou kopii výpisu z obchodního rejstříku nebo jiné obdobné evidence ne starší tří (3) měsíců.</w:t>
      </w:r>
    </w:p>
    <w:p w:rsidR="00077059" w:rsidRDefault="00B415B2" w:rsidP="00077059">
      <w:pPr>
        <w:keepNext/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5" w:hanging="425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Výpis z majetkového účtu</w:t>
      </w:r>
      <w:r w:rsidR="0049710C">
        <w:rPr>
          <w:b/>
          <w:sz w:val="18"/>
          <w:szCs w:val="18"/>
        </w:rPr>
        <w:t xml:space="preserve"> a výpis emise</w:t>
      </w:r>
    </w:p>
    <w:p w:rsidR="00077059" w:rsidRDefault="00B415B2" w:rsidP="00077059">
      <w:pPr>
        <w:keepNext/>
        <w:numPr>
          <w:ilvl w:val="1"/>
          <w:numId w:val="33"/>
        </w:numPr>
        <w:tabs>
          <w:tab w:val="clear" w:pos="36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zašle majiteli účtu na jeho žádost výpis z majetkového účtu, jehož je majitelem. Banka vyhotoví výpis k závěrce dne </w:t>
      </w:r>
      <w:r w:rsidR="008F0653">
        <w:rPr>
          <w:sz w:val="18"/>
          <w:szCs w:val="18"/>
        </w:rPr>
        <w:t>požadovaného</w:t>
      </w:r>
      <w:r w:rsidRPr="00C70F8A">
        <w:rPr>
          <w:sz w:val="18"/>
          <w:szCs w:val="18"/>
        </w:rPr>
        <w:t xml:space="preserve"> v žádosti. V případě, že žádost nespecifikuje den, k němuž má být výpis vyhotoven, vyhotoví Banka výpis k závěrce dne, </w:t>
      </w:r>
      <w:r w:rsidR="008F0653">
        <w:rPr>
          <w:sz w:val="18"/>
          <w:szCs w:val="18"/>
        </w:rPr>
        <w:t>ve kterém</w:t>
      </w:r>
      <w:r w:rsidRPr="00C70F8A">
        <w:rPr>
          <w:sz w:val="18"/>
          <w:szCs w:val="18"/>
        </w:rPr>
        <w:t xml:space="preserve"> žádost obdržela. </w:t>
      </w:r>
    </w:p>
    <w:p w:rsidR="00077059" w:rsidRDefault="00B415B2" w:rsidP="00077059">
      <w:pPr>
        <w:numPr>
          <w:ilvl w:val="1"/>
          <w:numId w:val="33"/>
        </w:numPr>
        <w:tabs>
          <w:tab w:val="clear" w:pos="36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Banka zašle majiteli účtu výpis i bez žádost</w:t>
      </w:r>
      <w:r w:rsidR="008F0653">
        <w:rPr>
          <w:sz w:val="18"/>
          <w:szCs w:val="18"/>
        </w:rPr>
        <w:t>i</w:t>
      </w:r>
      <w:r w:rsidRPr="00C70F8A">
        <w:rPr>
          <w:sz w:val="18"/>
          <w:szCs w:val="18"/>
        </w:rPr>
        <w:t xml:space="preserve"> vždy</w:t>
      </w:r>
      <w:r w:rsidR="008F0653">
        <w:rPr>
          <w:sz w:val="18"/>
          <w:szCs w:val="18"/>
        </w:rPr>
        <w:t>:</w:t>
      </w:r>
      <w:r w:rsidRPr="00C70F8A">
        <w:rPr>
          <w:sz w:val="18"/>
          <w:szCs w:val="18"/>
        </w:rPr>
        <w:t xml:space="preserve"> 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po opravě chyby ve smyslu § 98 </w:t>
      </w:r>
      <w:r>
        <w:rPr>
          <w:sz w:val="18"/>
          <w:szCs w:val="18"/>
        </w:rPr>
        <w:t>ZPKT s odůvodněním provedené změny; a</w:t>
      </w:r>
    </w:p>
    <w:p w:rsidR="00077059" w:rsidRDefault="0066402C" w:rsidP="00077059">
      <w:pPr>
        <w:numPr>
          <w:ilvl w:val="7"/>
          <w:numId w:val="26"/>
        </w:numPr>
        <w:tabs>
          <w:tab w:val="clear" w:pos="5760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8D3C6F">
        <w:rPr>
          <w:sz w:val="18"/>
          <w:szCs w:val="18"/>
        </w:rPr>
        <w:t>po zápisu CP ve prospěch nebo k tíži majetkového účtu</w:t>
      </w:r>
      <w:r w:rsidR="00B415B2">
        <w:rPr>
          <w:sz w:val="18"/>
          <w:szCs w:val="18"/>
        </w:rPr>
        <w:t>;</w:t>
      </w:r>
    </w:p>
    <w:p w:rsidR="00077059" w:rsidRDefault="00B415B2" w:rsidP="00077059">
      <w:pPr>
        <w:spacing w:after="120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a to na jeho adresu zapsanou v evidenci Banky.</w:t>
      </w:r>
    </w:p>
    <w:p w:rsidR="00077059" w:rsidRDefault="00781EF9" w:rsidP="00077059">
      <w:pPr>
        <w:keepNext/>
        <w:numPr>
          <w:ilvl w:val="1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58267E">
        <w:rPr>
          <w:sz w:val="18"/>
          <w:szCs w:val="18"/>
        </w:rPr>
        <w:t xml:space="preserve">Banka zašle emitentovi </w:t>
      </w:r>
      <w:r w:rsidR="0058267E" w:rsidRPr="0058267E">
        <w:rPr>
          <w:sz w:val="18"/>
          <w:szCs w:val="18"/>
        </w:rPr>
        <w:t xml:space="preserve">CP </w:t>
      </w:r>
      <w:r w:rsidRPr="0058267E">
        <w:rPr>
          <w:sz w:val="18"/>
          <w:szCs w:val="18"/>
        </w:rPr>
        <w:t xml:space="preserve">na jeho žádost výpis emise za účelem konání valné hromady emitenta </w:t>
      </w:r>
      <w:r w:rsidR="00700D28">
        <w:rPr>
          <w:sz w:val="18"/>
          <w:szCs w:val="18"/>
        </w:rPr>
        <w:t xml:space="preserve">Akcií </w:t>
      </w:r>
      <w:r w:rsidRPr="0058267E">
        <w:rPr>
          <w:sz w:val="18"/>
          <w:szCs w:val="18"/>
        </w:rPr>
        <w:t xml:space="preserve">nebo konání a svolání schůze vlastníků </w:t>
      </w:r>
      <w:r w:rsidR="0058267E" w:rsidRPr="0058267E">
        <w:rPr>
          <w:sz w:val="18"/>
          <w:szCs w:val="18"/>
        </w:rPr>
        <w:t>Sběrného dluhopisu</w:t>
      </w:r>
      <w:r w:rsidR="00580D2E">
        <w:rPr>
          <w:sz w:val="18"/>
          <w:szCs w:val="18"/>
        </w:rPr>
        <w:t>, případně za jiným účelem dle platných právních předpisů</w:t>
      </w:r>
      <w:r w:rsidRPr="0058267E">
        <w:rPr>
          <w:sz w:val="18"/>
          <w:szCs w:val="18"/>
        </w:rPr>
        <w:t xml:space="preserve">. </w:t>
      </w:r>
    </w:p>
    <w:p w:rsidR="00077059" w:rsidRDefault="00781EF9" w:rsidP="00077059">
      <w:pPr>
        <w:keepNext/>
        <w:numPr>
          <w:ilvl w:val="1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vyhotoví výpis k závěrce dne </w:t>
      </w:r>
      <w:r>
        <w:rPr>
          <w:sz w:val="18"/>
          <w:szCs w:val="18"/>
        </w:rPr>
        <w:t>požadovaného</w:t>
      </w:r>
      <w:r w:rsidRPr="00C70F8A">
        <w:rPr>
          <w:sz w:val="18"/>
          <w:szCs w:val="18"/>
        </w:rPr>
        <w:t xml:space="preserve"> v žádosti. V případě, že žádost nespecifikuje den, k němuž má být výpis vyhotoven, vyhotoví Banka výpis k závěrce dne, </w:t>
      </w:r>
      <w:r>
        <w:rPr>
          <w:sz w:val="18"/>
          <w:szCs w:val="18"/>
        </w:rPr>
        <w:t>ve kterém</w:t>
      </w:r>
      <w:r w:rsidRPr="00C70F8A">
        <w:rPr>
          <w:sz w:val="18"/>
          <w:szCs w:val="18"/>
        </w:rPr>
        <w:t xml:space="preserve"> žádost obdržela. </w:t>
      </w:r>
    </w:p>
    <w:p w:rsidR="00077059" w:rsidRDefault="00B415B2" w:rsidP="00077059">
      <w:pPr>
        <w:numPr>
          <w:ilvl w:val="0"/>
          <w:numId w:val="26"/>
        </w:numPr>
        <w:tabs>
          <w:tab w:val="clear" w:pos="72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b/>
          <w:sz w:val="18"/>
          <w:szCs w:val="18"/>
        </w:rPr>
      </w:pPr>
      <w:r w:rsidRPr="002B3146">
        <w:rPr>
          <w:b/>
          <w:sz w:val="18"/>
          <w:szCs w:val="18"/>
        </w:rPr>
        <w:t>Poskytování informací z evidence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 xml:space="preserve">Banka je povinna poskytnout osobám uvedeným v § 115 </w:t>
      </w:r>
      <w:r>
        <w:rPr>
          <w:sz w:val="18"/>
          <w:szCs w:val="18"/>
        </w:rPr>
        <w:t>ZPKT</w:t>
      </w:r>
      <w:r w:rsidRPr="002B3146">
        <w:rPr>
          <w:sz w:val="18"/>
          <w:szCs w:val="18"/>
        </w:rPr>
        <w:t xml:space="preserve"> údaje z evidence a dokumentů, které je Banka povinna v souvislost</w:t>
      </w:r>
      <w:r w:rsidR="00580D2E">
        <w:rPr>
          <w:sz w:val="18"/>
          <w:szCs w:val="18"/>
        </w:rPr>
        <w:t>i</w:t>
      </w:r>
      <w:r w:rsidRPr="002B3146">
        <w:rPr>
          <w:sz w:val="18"/>
          <w:szCs w:val="18"/>
        </w:rPr>
        <w:t xml:space="preserve"> s vedením evidence uchovávat. Banka poskytne údaje osobě uvedené v §115 </w:t>
      </w:r>
      <w:r>
        <w:rPr>
          <w:sz w:val="18"/>
          <w:szCs w:val="18"/>
        </w:rPr>
        <w:t>ZPKT</w:t>
      </w:r>
      <w:r w:rsidRPr="002B3146">
        <w:rPr>
          <w:sz w:val="18"/>
          <w:szCs w:val="18"/>
        </w:rPr>
        <w:t xml:space="preserve"> na základě písemné žádosti. 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bookmarkStart w:id="12" w:name="_Ref211056415"/>
      <w:r w:rsidRPr="002B3146">
        <w:rPr>
          <w:sz w:val="18"/>
          <w:szCs w:val="18"/>
        </w:rPr>
        <w:lastRenderedPageBreak/>
        <w:t xml:space="preserve">Písemná žádost musí být s výjimkou osob dle § 115 odst. 1 písm. b) a f) </w:t>
      </w:r>
      <w:r>
        <w:rPr>
          <w:sz w:val="18"/>
          <w:szCs w:val="18"/>
        </w:rPr>
        <w:t>ZPKT</w:t>
      </w:r>
      <w:r w:rsidRPr="002B3146">
        <w:rPr>
          <w:sz w:val="18"/>
          <w:szCs w:val="18"/>
        </w:rPr>
        <w:t xml:space="preserve"> opatřena otiskem úředního razítka se státním znakem, podpisovou doložkou s čitelně uvedeným jménem, příjmením a funkcí a musí být podepsána. Žádost osob dle § 115 odst. 1 písm. b) a f) </w:t>
      </w:r>
      <w:r>
        <w:rPr>
          <w:sz w:val="18"/>
          <w:szCs w:val="18"/>
        </w:rPr>
        <w:t>ZPKT</w:t>
      </w:r>
      <w:r w:rsidRPr="002B3146">
        <w:rPr>
          <w:sz w:val="18"/>
          <w:szCs w:val="18"/>
        </w:rPr>
        <w:t xml:space="preserve"> musí být podepsána k tomu oprávněnou osobou. </w:t>
      </w:r>
    </w:p>
    <w:p w:rsidR="00077059" w:rsidRDefault="00B415B2" w:rsidP="00077059">
      <w:pPr>
        <w:overflowPunct/>
        <w:autoSpaceDE/>
        <w:autoSpaceDN/>
        <w:adjustRightInd/>
        <w:spacing w:after="120"/>
        <w:ind w:firstLine="426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Banka je oprávněná požadovat, aby žádost obsahovala</w:t>
      </w:r>
      <w:bookmarkEnd w:id="12"/>
      <w:r w:rsidR="008F0653">
        <w:rPr>
          <w:sz w:val="18"/>
          <w:szCs w:val="18"/>
        </w:rPr>
        <w:t>:</w:t>
      </w:r>
    </w:p>
    <w:p w:rsidR="00077059" w:rsidRDefault="00B415B2" w:rsidP="00077059">
      <w:pPr>
        <w:numPr>
          <w:ilvl w:val="0"/>
          <w:numId w:val="42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údaje umožňující identifikovat majitele účtu;</w:t>
      </w:r>
    </w:p>
    <w:p w:rsidR="00077059" w:rsidRDefault="00B415B2" w:rsidP="00077059">
      <w:pPr>
        <w:numPr>
          <w:ilvl w:val="0"/>
          <w:numId w:val="42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rozsah vyžadovaných údajů a dokumentů;</w:t>
      </w:r>
    </w:p>
    <w:p w:rsidR="00077059" w:rsidRDefault="00B415B2" w:rsidP="00077059">
      <w:pPr>
        <w:numPr>
          <w:ilvl w:val="0"/>
          <w:numId w:val="42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 xml:space="preserve">účel, pro </w:t>
      </w:r>
      <w:r w:rsidR="00F3246B">
        <w:rPr>
          <w:sz w:val="18"/>
          <w:szCs w:val="18"/>
        </w:rPr>
        <w:t>který</w:t>
      </w:r>
      <w:r w:rsidRPr="002B3146">
        <w:rPr>
          <w:sz w:val="18"/>
          <w:szCs w:val="18"/>
        </w:rPr>
        <w:t xml:space="preserve"> jsou údaje a dokumenty vyžadovány;</w:t>
      </w:r>
    </w:p>
    <w:p w:rsidR="00077059" w:rsidRDefault="00B415B2" w:rsidP="00077059">
      <w:pPr>
        <w:numPr>
          <w:ilvl w:val="0"/>
          <w:numId w:val="42"/>
        </w:numPr>
        <w:tabs>
          <w:tab w:val="clear" w:pos="5826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kontaktní údaje žadatele.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Banka poskytne údaje a dokumenty ve lhůtě požadované žadatelem za podmínky,</w:t>
      </w:r>
      <w:r>
        <w:rPr>
          <w:sz w:val="18"/>
          <w:szCs w:val="18"/>
        </w:rPr>
        <w:t xml:space="preserve"> </w:t>
      </w:r>
      <w:r w:rsidRPr="002B3146">
        <w:rPr>
          <w:sz w:val="18"/>
          <w:szCs w:val="18"/>
        </w:rPr>
        <w:t xml:space="preserve">že to provozní podmínky Banky umožní a žádost bude obsahovat údaje uvedené </w:t>
      </w:r>
      <w:r>
        <w:rPr>
          <w:sz w:val="18"/>
          <w:szCs w:val="18"/>
        </w:rPr>
        <w:t>v odstavci</w:t>
      </w:r>
      <w:r w:rsidRPr="002B3146">
        <w:rPr>
          <w:sz w:val="18"/>
          <w:szCs w:val="18"/>
        </w:rPr>
        <w:t xml:space="preserve"> </w:t>
      </w:r>
      <w:proofErr w:type="gramStart"/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_Ref211056415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6.2</w:t>
      </w:r>
      <w:r w:rsidR="006A6D31">
        <w:rPr>
          <w:sz w:val="18"/>
          <w:szCs w:val="18"/>
        </w:rPr>
        <w:fldChar w:fldCharType="end"/>
      </w:r>
      <w:proofErr w:type="gramEnd"/>
      <w:r w:rsidRPr="002B3146">
        <w:rPr>
          <w:sz w:val="18"/>
          <w:szCs w:val="18"/>
        </w:rPr>
        <w:t xml:space="preserve">. V opačném případě Banka informuje žadatele, v jaké lhůtě může údaje a dokumenty poskytnout. 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 xml:space="preserve">Majitel účtu zákazníků je povinen </w:t>
      </w:r>
      <w:r w:rsidR="00AF227C" w:rsidRPr="002B3146">
        <w:rPr>
          <w:sz w:val="18"/>
          <w:szCs w:val="18"/>
        </w:rPr>
        <w:t>za účelem splnění povinností Banky dle §</w:t>
      </w:r>
      <w:r w:rsidR="00AF227C">
        <w:rPr>
          <w:sz w:val="18"/>
          <w:szCs w:val="18"/>
        </w:rPr>
        <w:t> </w:t>
      </w:r>
      <w:r w:rsidR="00AF227C" w:rsidRPr="002B3146">
        <w:rPr>
          <w:sz w:val="18"/>
          <w:szCs w:val="18"/>
        </w:rPr>
        <w:t xml:space="preserve">115 </w:t>
      </w:r>
      <w:r w:rsidR="00AF227C">
        <w:rPr>
          <w:sz w:val="18"/>
          <w:szCs w:val="18"/>
        </w:rPr>
        <w:t>ZPKT</w:t>
      </w:r>
      <w:r w:rsidR="00AF227C" w:rsidRPr="002B3146">
        <w:rPr>
          <w:sz w:val="18"/>
          <w:szCs w:val="18"/>
        </w:rPr>
        <w:t xml:space="preserve"> </w:t>
      </w:r>
      <w:r w:rsidRPr="002B3146">
        <w:rPr>
          <w:sz w:val="18"/>
          <w:szCs w:val="18"/>
        </w:rPr>
        <w:t xml:space="preserve">poskytnout Bance údaje z evidence, která navazuje na samostatnou evidenci Banky, a dokumenty, které je takový majitel povinen uchovávat dle § 99a </w:t>
      </w:r>
      <w:r>
        <w:rPr>
          <w:sz w:val="18"/>
          <w:szCs w:val="18"/>
        </w:rPr>
        <w:t>ZPKT</w:t>
      </w:r>
      <w:r w:rsidR="008F0653">
        <w:rPr>
          <w:sz w:val="18"/>
          <w:szCs w:val="18"/>
        </w:rPr>
        <w:t>,</w:t>
      </w:r>
      <w:r>
        <w:rPr>
          <w:sz w:val="18"/>
          <w:szCs w:val="18"/>
        </w:rPr>
        <w:t xml:space="preserve"> a to</w:t>
      </w:r>
      <w:r w:rsidRPr="002B3146">
        <w:rPr>
          <w:sz w:val="18"/>
          <w:szCs w:val="18"/>
        </w:rPr>
        <w:t xml:space="preserve"> </w:t>
      </w:r>
      <w:r w:rsidRPr="009D6835">
        <w:rPr>
          <w:sz w:val="18"/>
          <w:szCs w:val="18"/>
        </w:rPr>
        <w:t>bez zbytečného odkladu</w:t>
      </w:r>
      <w:r>
        <w:rPr>
          <w:sz w:val="18"/>
          <w:szCs w:val="18"/>
        </w:rPr>
        <w:t>, nejpozději do 17 hodin dne následujícího po dni doručení</w:t>
      </w:r>
      <w:r w:rsidRPr="002B3146">
        <w:rPr>
          <w:sz w:val="18"/>
          <w:szCs w:val="18"/>
        </w:rPr>
        <w:t> žádosti Banky</w:t>
      </w:r>
      <w:r w:rsidR="00AF227C">
        <w:rPr>
          <w:sz w:val="18"/>
          <w:szCs w:val="18"/>
        </w:rPr>
        <w:t>.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20" w:after="240"/>
        <w:ind w:left="425" w:hanging="425"/>
        <w:jc w:val="both"/>
        <w:textAlignment w:val="auto"/>
        <w:rPr>
          <w:b/>
          <w:sz w:val="18"/>
          <w:szCs w:val="18"/>
        </w:rPr>
      </w:pPr>
      <w:bookmarkStart w:id="13" w:name="_Ref209944145"/>
      <w:r>
        <w:rPr>
          <w:b/>
          <w:sz w:val="18"/>
          <w:szCs w:val="18"/>
        </w:rPr>
        <w:t>PPN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bookmarkStart w:id="14" w:name="_Ref256592780"/>
      <w:r w:rsidRPr="00361DCF">
        <w:rPr>
          <w:sz w:val="18"/>
          <w:szCs w:val="18"/>
        </w:rPr>
        <w:t xml:space="preserve">Příkaz k zápisu PPN </w:t>
      </w:r>
      <w:r>
        <w:rPr>
          <w:sz w:val="18"/>
          <w:szCs w:val="18"/>
        </w:rPr>
        <w:t>může podat</w:t>
      </w:r>
      <w:bookmarkEnd w:id="14"/>
      <w:r w:rsidR="00AF227C">
        <w:rPr>
          <w:sz w:val="18"/>
          <w:szCs w:val="18"/>
        </w:rPr>
        <w:t>:</w:t>
      </w:r>
    </w:p>
    <w:p w:rsidR="00077059" w:rsidRDefault="00B415B2" w:rsidP="00077059">
      <w:pPr>
        <w:numPr>
          <w:ilvl w:val="2"/>
          <w:numId w:val="30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bookmarkStart w:id="15" w:name="_Ref256592782"/>
      <w:r w:rsidRPr="00361DCF">
        <w:rPr>
          <w:sz w:val="18"/>
          <w:szCs w:val="18"/>
        </w:rPr>
        <w:t>příslušný soud, exekutor nebo správní úřad, jestliže je to nezbytné v souvislosti s vydáním předběžného opatření, exekučního příkazu nebo k jiným účelům soudního nebo správního řízení nebo sta</w:t>
      </w:r>
      <w:r>
        <w:rPr>
          <w:sz w:val="18"/>
          <w:szCs w:val="18"/>
        </w:rPr>
        <w:t>noví-li tak jiný právní předpis;</w:t>
      </w:r>
      <w:bookmarkEnd w:id="15"/>
    </w:p>
    <w:p w:rsidR="00077059" w:rsidRDefault="00B415B2" w:rsidP="00077059">
      <w:pPr>
        <w:numPr>
          <w:ilvl w:val="2"/>
          <w:numId w:val="30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>depozitář fondu kolektivního investování podle zákona upra</w:t>
      </w:r>
      <w:r>
        <w:rPr>
          <w:sz w:val="18"/>
          <w:szCs w:val="18"/>
        </w:rPr>
        <w:t>vujícího kolektivní investování; nebo</w:t>
      </w:r>
    </w:p>
    <w:p w:rsidR="00077059" w:rsidRDefault="00B415B2" w:rsidP="00077059">
      <w:pPr>
        <w:numPr>
          <w:ilvl w:val="2"/>
          <w:numId w:val="30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>třetí osoba, pokud dává příkaz ve svůj prospěch a má k tomu souhlas vlastníka.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 xml:space="preserve">V příkazu k zápisu </w:t>
      </w:r>
      <w:r>
        <w:rPr>
          <w:sz w:val="18"/>
          <w:szCs w:val="18"/>
        </w:rPr>
        <w:t>PPN se uvede</w:t>
      </w:r>
      <w:r w:rsidRPr="00361DCF">
        <w:rPr>
          <w:sz w:val="18"/>
          <w:szCs w:val="18"/>
        </w:rPr>
        <w:t xml:space="preserve"> doba, na kterou se nakládání s </w:t>
      </w:r>
      <w:r>
        <w:rPr>
          <w:sz w:val="18"/>
          <w:szCs w:val="18"/>
        </w:rPr>
        <w:t>CP</w:t>
      </w:r>
      <w:r w:rsidRPr="00361DCF">
        <w:rPr>
          <w:sz w:val="18"/>
          <w:szCs w:val="18"/>
        </w:rPr>
        <w:t xml:space="preserve"> pozastavuje.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PPN</w:t>
      </w:r>
      <w:r w:rsidRPr="00361DCF">
        <w:rPr>
          <w:sz w:val="18"/>
          <w:szCs w:val="18"/>
        </w:rPr>
        <w:t xml:space="preserve"> zaniká</w:t>
      </w:r>
      <w:r w:rsidR="00AF227C">
        <w:rPr>
          <w:sz w:val="18"/>
          <w:szCs w:val="18"/>
        </w:rPr>
        <w:t>:</w:t>
      </w:r>
    </w:p>
    <w:p w:rsidR="00077059" w:rsidRPr="007C0B41" w:rsidRDefault="0066402C" w:rsidP="00077059">
      <w:pPr>
        <w:numPr>
          <w:ilvl w:val="0"/>
          <w:numId w:val="44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7C0B41">
        <w:rPr>
          <w:sz w:val="18"/>
          <w:szCs w:val="18"/>
        </w:rPr>
        <w:t>uplynutím doby, na kterou bylo PPN zřízeno</w:t>
      </w:r>
      <w:r w:rsidR="00B415B2" w:rsidRPr="007C0B41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44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120"/>
        <w:ind w:left="851" w:hanging="425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 xml:space="preserve">z příkazu osoby, která dala příkaz k zápisu </w:t>
      </w:r>
      <w:r>
        <w:rPr>
          <w:sz w:val="18"/>
          <w:szCs w:val="18"/>
        </w:rPr>
        <w:t>PPN;</w:t>
      </w:r>
      <w:r w:rsidRPr="00361DCF">
        <w:rPr>
          <w:sz w:val="18"/>
          <w:szCs w:val="18"/>
        </w:rPr>
        <w:t xml:space="preserve"> nebo </w:t>
      </w:r>
    </w:p>
    <w:p w:rsidR="00077059" w:rsidRDefault="00B415B2" w:rsidP="00077059">
      <w:pPr>
        <w:numPr>
          <w:ilvl w:val="0"/>
          <w:numId w:val="44"/>
        </w:numPr>
        <w:tabs>
          <w:tab w:val="clear" w:pos="2831"/>
          <w:tab w:val="num" w:pos="851"/>
        </w:tabs>
        <w:overflowPunct/>
        <w:autoSpaceDE/>
        <w:autoSpaceDN/>
        <w:adjustRightInd/>
        <w:spacing w:after="240"/>
        <w:ind w:left="850" w:hanging="425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>z příkazu osoby, kte</w:t>
      </w:r>
      <w:r>
        <w:rPr>
          <w:sz w:val="18"/>
          <w:szCs w:val="18"/>
        </w:rPr>
        <w:t xml:space="preserve">rá prokáže své oprávnění zrušit </w:t>
      </w:r>
      <w:r w:rsidRPr="00361DCF">
        <w:rPr>
          <w:sz w:val="18"/>
          <w:szCs w:val="18"/>
        </w:rPr>
        <w:t>zápis</w:t>
      </w:r>
      <w:r>
        <w:rPr>
          <w:sz w:val="18"/>
          <w:szCs w:val="18"/>
        </w:rPr>
        <w:t xml:space="preserve"> PPN</w:t>
      </w:r>
      <w:r w:rsidRPr="00361DCF">
        <w:rPr>
          <w:sz w:val="18"/>
          <w:szCs w:val="18"/>
        </w:rPr>
        <w:t xml:space="preserve">. 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 xml:space="preserve">Správní úřad nebo soud oprávněný dát příkaz k zápisu </w:t>
      </w:r>
      <w:r>
        <w:rPr>
          <w:sz w:val="18"/>
          <w:szCs w:val="18"/>
        </w:rPr>
        <w:t>PPN</w:t>
      </w:r>
      <w:r w:rsidRPr="00361DCF">
        <w:rPr>
          <w:sz w:val="18"/>
          <w:szCs w:val="18"/>
        </w:rPr>
        <w:t xml:space="preserve"> podle odstavce </w:t>
      </w:r>
      <w:proofErr w:type="gramStart"/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_Ref256592780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7.1</w:t>
      </w:r>
      <w:r w:rsidR="006A6D31">
        <w:rPr>
          <w:sz w:val="18"/>
          <w:szCs w:val="18"/>
        </w:rPr>
        <w:fldChar w:fldCharType="end"/>
      </w:r>
      <w:proofErr w:type="gramEnd"/>
      <w:r>
        <w:rPr>
          <w:sz w:val="18"/>
          <w:szCs w:val="18"/>
        </w:rPr>
        <w:t xml:space="preserve"> písm. </w:t>
      </w:r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_Ref256592782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(a)</w:t>
      </w:r>
      <w:r w:rsidR="006A6D31">
        <w:rPr>
          <w:sz w:val="18"/>
          <w:szCs w:val="18"/>
        </w:rPr>
        <w:fldChar w:fldCharType="end"/>
      </w:r>
      <w:r w:rsidRPr="00361DCF">
        <w:rPr>
          <w:sz w:val="18"/>
          <w:szCs w:val="18"/>
        </w:rPr>
        <w:t xml:space="preserve"> může dát též příkaz ke zrušení </w:t>
      </w:r>
      <w:r>
        <w:rPr>
          <w:sz w:val="18"/>
          <w:szCs w:val="18"/>
        </w:rPr>
        <w:t>PPN</w:t>
      </w:r>
      <w:r w:rsidRPr="00361DCF">
        <w:rPr>
          <w:sz w:val="18"/>
          <w:szCs w:val="18"/>
        </w:rPr>
        <w:t>, k němuž dala příkaz jiná osoba.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361DCF">
        <w:rPr>
          <w:sz w:val="18"/>
          <w:szCs w:val="18"/>
        </w:rPr>
        <w:t xml:space="preserve">Po dobu </w:t>
      </w:r>
      <w:r>
        <w:rPr>
          <w:sz w:val="18"/>
          <w:szCs w:val="18"/>
        </w:rPr>
        <w:t>trvání PPN</w:t>
      </w:r>
      <w:r w:rsidRPr="00361DCF">
        <w:rPr>
          <w:sz w:val="18"/>
          <w:szCs w:val="18"/>
        </w:rPr>
        <w:t xml:space="preserve"> není možné do evidence zapsat změnu vlastníka </w:t>
      </w:r>
      <w:r>
        <w:rPr>
          <w:sz w:val="18"/>
          <w:szCs w:val="18"/>
        </w:rPr>
        <w:t xml:space="preserve">CP </w:t>
      </w:r>
      <w:r w:rsidRPr="00361DCF">
        <w:rPr>
          <w:sz w:val="18"/>
          <w:szCs w:val="18"/>
        </w:rPr>
        <w:t xml:space="preserve">převodem </w:t>
      </w:r>
      <w:r>
        <w:rPr>
          <w:sz w:val="18"/>
          <w:szCs w:val="18"/>
        </w:rPr>
        <w:t>CP,</w:t>
      </w:r>
      <w:r w:rsidRPr="00361DCF">
        <w:rPr>
          <w:sz w:val="18"/>
          <w:szCs w:val="18"/>
        </w:rPr>
        <w:t xml:space="preserve"> ani není možné zapsat smluvní zástavní právo k tomuto </w:t>
      </w:r>
      <w:r>
        <w:rPr>
          <w:sz w:val="18"/>
          <w:szCs w:val="18"/>
        </w:rPr>
        <w:t>CP</w:t>
      </w:r>
      <w:r w:rsidRPr="00361DCF">
        <w:rPr>
          <w:sz w:val="18"/>
          <w:szCs w:val="18"/>
        </w:rPr>
        <w:t>.</w:t>
      </w:r>
    </w:p>
    <w:p w:rsidR="00077059" w:rsidRDefault="00B415B2" w:rsidP="00077059">
      <w:pPr>
        <w:keepNext/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20" w:after="240"/>
        <w:ind w:left="425" w:hanging="425"/>
        <w:jc w:val="both"/>
        <w:textAlignment w:val="auto"/>
        <w:rPr>
          <w:b/>
          <w:sz w:val="18"/>
          <w:szCs w:val="18"/>
        </w:rPr>
      </w:pPr>
      <w:bookmarkStart w:id="16" w:name="_Ref260732541"/>
      <w:r w:rsidRPr="00C70F8A">
        <w:rPr>
          <w:b/>
          <w:sz w:val="18"/>
          <w:szCs w:val="18"/>
        </w:rPr>
        <w:t xml:space="preserve">Převod </w:t>
      </w:r>
      <w:bookmarkEnd w:id="13"/>
      <w:bookmarkEnd w:id="16"/>
      <w:r>
        <w:rPr>
          <w:b/>
          <w:sz w:val="18"/>
          <w:szCs w:val="18"/>
        </w:rPr>
        <w:t>CP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 xml:space="preserve">Banka zapíše převod </w:t>
      </w:r>
      <w:r>
        <w:rPr>
          <w:b w:val="0"/>
          <w:sz w:val="18"/>
          <w:szCs w:val="18"/>
        </w:rPr>
        <w:t>CP</w:t>
      </w:r>
      <w:r w:rsidRPr="00C70F8A">
        <w:rPr>
          <w:b w:val="0"/>
          <w:sz w:val="18"/>
          <w:szCs w:val="18"/>
        </w:rPr>
        <w:t xml:space="preserve"> na základě</w:t>
      </w:r>
      <w:r>
        <w:rPr>
          <w:b w:val="0"/>
          <w:sz w:val="18"/>
          <w:szCs w:val="18"/>
        </w:rPr>
        <w:t xml:space="preserve"> společného příkazu převodce a nabyvatele</w:t>
      </w:r>
      <w:r w:rsidRPr="00C70F8A">
        <w:rPr>
          <w:b w:val="0"/>
          <w:sz w:val="18"/>
          <w:szCs w:val="18"/>
        </w:rPr>
        <w:t xml:space="preserve"> k</w:t>
      </w:r>
      <w:r>
        <w:rPr>
          <w:b w:val="0"/>
          <w:sz w:val="18"/>
          <w:szCs w:val="18"/>
        </w:rPr>
        <w:t> </w:t>
      </w:r>
      <w:r w:rsidRPr="00C70F8A">
        <w:rPr>
          <w:b w:val="0"/>
          <w:sz w:val="18"/>
          <w:szCs w:val="18"/>
        </w:rPr>
        <w:t>zápisu</w:t>
      </w:r>
      <w:r>
        <w:rPr>
          <w:b w:val="0"/>
          <w:sz w:val="18"/>
          <w:szCs w:val="18"/>
        </w:rPr>
        <w:t xml:space="preserve"> (registraci)</w:t>
      </w:r>
      <w:r w:rsidRPr="00C70F8A">
        <w:rPr>
          <w:b w:val="0"/>
          <w:sz w:val="18"/>
          <w:szCs w:val="18"/>
        </w:rPr>
        <w:t xml:space="preserve"> převodu </w:t>
      </w:r>
      <w:r>
        <w:rPr>
          <w:b w:val="0"/>
          <w:sz w:val="18"/>
          <w:szCs w:val="18"/>
        </w:rPr>
        <w:t>CP.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>Banka je oprávněná požadovat, aby příkaz k převodu obsahoval minimálně</w:t>
      </w:r>
      <w:r>
        <w:rPr>
          <w:b w:val="0"/>
          <w:sz w:val="18"/>
          <w:szCs w:val="18"/>
        </w:rPr>
        <w:t>:</w:t>
      </w:r>
    </w:p>
    <w:p w:rsidR="00077059" w:rsidRDefault="00B415B2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 xml:space="preserve">identifikační údaje převodce a nabyvatele v rozsahu údajů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b w:val="0"/>
          <w:sz w:val="18"/>
          <w:szCs w:val="18"/>
        </w:rPr>
        <w:t>3.2</w:t>
      </w:r>
      <w:r w:rsidR="006A6D31">
        <w:fldChar w:fldCharType="end"/>
      </w:r>
      <w:proofErr w:type="gramEnd"/>
      <w:r w:rsidRPr="00C70F8A">
        <w:rPr>
          <w:b w:val="0"/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b w:val="0"/>
            <w:sz w:val="18"/>
            <w:szCs w:val="18"/>
          </w:rPr>
          <w:t>(c)</w:t>
        </w:r>
      </w:fldSimple>
      <w:r w:rsidRPr="00C70F8A">
        <w:rPr>
          <w:b w:val="0"/>
          <w:sz w:val="18"/>
          <w:szCs w:val="18"/>
        </w:rPr>
        <w:t>;</w:t>
      </w:r>
    </w:p>
    <w:p w:rsidR="00077059" w:rsidRPr="00A64954" w:rsidRDefault="0066402C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A64954">
        <w:rPr>
          <w:b w:val="0"/>
          <w:sz w:val="18"/>
          <w:szCs w:val="18"/>
        </w:rPr>
        <w:t>číslo majetkového účtu převodce</w:t>
      </w:r>
      <w:r w:rsidR="00B415B2" w:rsidRPr="00A64954">
        <w:rPr>
          <w:b w:val="0"/>
          <w:sz w:val="18"/>
          <w:szCs w:val="18"/>
        </w:rPr>
        <w:t>;</w:t>
      </w:r>
    </w:p>
    <w:p w:rsidR="00077059" w:rsidRPr="00A64954" w:rsidRDefault="0066402C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A64954">
        <w:rPr>
          <w:b w:val="0"/>
          <w:sz w:val="18"/>
          <w:szCs w:val="18"/>
        </w:rPr>
        <w:t xml:space="preserve">číslo majetkového účtu nabyvatele; </w:t>
      </w:r>
    </w:p>
    <w:p w:rsidR="00077059" w:rsidRDefault="00B415B2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 xml:space="preserve">identifikaci převáděných </w:t>
      </w:r>
      <w:r>
        <w:rPr>
          <w:b w:val="0"/>
          <w:sz w:val="18"/>
          <w:szCs w:val="18"/>
        </w:rPr>
        <w:t>CP</w:t>
      </w:r>
      <w:r w:rsidRPr="00C70F8A">
        <w:rPr>
          <w:b w:val="0"/>
          <w:sz w:val="18"/>
          <w:szCs w:val="18"/>
        </w:rPr>
        <w:t xml:space="preserve">, tj. ISIN a počet převáděných </w:t>
      </w:r>
      <w:r>
        <w:rPr>
          <w:b w:val="0"/>
          <w:sz w:val="18"/>
          <w:szCs w:val="18"/>
        </w:rPr>
        <w:t>CP;</w:t>
      </w:r>
    </w:p>
    <w:p w:rsidR="00077059" w:rsidRDefault="00B415B2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deklarovanou cenu</w:t>
      </w:r>
      <w:r w:rsidRPr="00C70F8A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jednoho (</w:t>
      </w:r>
      <w:r w:rsidRPr="00C70F8A">
        <w:rPr>
          <w:b w:val="0"/>
          <w:sz w:val="18"/>
          <w:szCs w:val="18"/>
        </w:rPr>
        <w:t>1</w:t>
      </w:r>
      <w:r>
        <w:rPr>
          <w:b w:val="0"/>
          <w:sz w:val="18"/>
          <w:szCs w:val="18"/>
        </w:rPr>
        <w:t>)</w:t>
      </w:r>
      <w:r w:rsidRPr="00C70F8A">
        <w:rPr>
          <w:b w:val="0"/>
          <w:sz w:val="18"/>
          <w:szCs w:val="18"/>
        </w:rPr>
        <w:t xml:space="preserve"> kusu </w:t>
      </w:r>
      <w:r>
        <w:rPr>
          <w:b w:val="0"/>
          <w:sz w:val="18"/>
          <w:szCs w:val="18"/>
        </w:rPr>
        <w:t>CP</w:t>
      </w:r>
      <w:r w:rsidRPr="00C70F8A">
        <w:rPr>
          <w:b w:val="0"/>
          <w:sz w:val="18"/>
          <w:szCs w:val="18"/>
        </w:rPr>
        <w:t xml:space="preserve">, a to v případě </w:t>
      </w:r>
      <w:r w:rsidR="0049710C">
        <w:rPr>
          <w:b w:val="0"/>
          <w:sz w:val="18"/>
          <w:szCs w:val="18"/>
        </w:rPr>
        <w:t xml:space="preserve">úplatného </w:t>
      </w:r>
      <w:r w:rsidRPr="00C70F8A">
        <w:rPr>
          <w:b w:val="0"/>
          <w:sz w:val="18"/>
          <w:szCs w:val="18"/>
        </w:rPr>
        <w:t>převodu;</w:t>
      </w:r>
    </w:p>
    <w:p w:rsidR="00077059" w:rsidRDefault="00B415B2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>ú</w:t>
      </w:r>
      <w:r>
        <w:rPr>
          <w:b w:val="0"/>
          <w:sz w:val="18"/>
          <w:szCs w:val="18"/>
        </w:rPr>
        <w:t>čel převodu (koupě, darování</w:t>
      </w:r>
      <w:r w:rsidR="0049710C">
        <w:rPr>
          <w:b w:val="0"/>
          <w:sz w:val="18"/>
          <w:szCs w:val="18"/>
        </w:rPr>
        <w:t>, atp.</w:t>
      </w:r>
      <w:r>
        <w:rPr>
          <w:b w:val="0"/>
          <w:sz w:val="18"/>
          <w:szCs w:val="18"/>
        </w:rPr>
        <w:t>); a</w:t>
      </w:r>
    </w:p>
    <w:p w:rsidR="00077059" w:rsidRDefault="00B415B2" w:rsidP="00077059">
      <w:pPr>
        <w:pStyle w:val="Nadpis3"/>
        <w:numPr>
          <w:ilvl w:val="0"/>
          <w:numId w:val="39"/>
        </w:numPr>
        <w:overflowPunct/>
        <w:autoSpaceDE/>
        <w:autoSpaceDN/>
        <w:adjustRightInd/>
        <w:spacing w:after="240"/>
        <w:ind w:left="754" w:hanging="357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 xml:space="preserve">požadovaný </w:t>
      </w:r>
      <w:r w:rsidR="002964B2">
        <w:rPr>
          <w:b w:val="0"/>
          <w:sz w:val="18"/>
          <w:szCs w:val="18"/>
        </w:rPr>
        <w:t>pracovní</w:t>
      </w:r>
      <w:r w:rsidRPr="00C70F8A">
        <w:rPr>
          <w:b w:val="0"/>
          <w:sz w:val="18"/>
          <w:szCs w:val="18"/>
        </w:rPr>
        <w:t xml:space="preserve"> den vypořádání převodu.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lastRenderedPageBreak/>
        <w:t>Příkaz k převodu</w:t>
      </w:r>
      <w:r w:rsidRPr="00594287">
        <w:rPr>
          <w:b w:val="0"/>
          <w:sz w:val="18"/>
          <w:szCs w:val="18"/>
        </w:rPr>
        <w:t xml:space="preserve"> musí být podepsán </w:t>
      </w:r>
      <w:r>
        <w:rPr>
          <w:b w:val="0"/>
          <w:sz w:val="18"/>
          <w:szCs w:val="18"/>
        </w:rPr>
        <w:t>převodcem a nabyvatelem a jejich</w:t>
      </w:r>
      <w:r w:rsidRPr="00594287">
        <w:rPr>
          <w:b w:val="0"/>
          <w:sz w:val="18"/>
          <w:szCs w:val="18"/>
        </w:rPr>
        <w:t xml:space="preserve"> podpis</w:t>
      </w:r>
      <w:r>
        <w:rPr>
          <w:b w:val="0"/>
          <w:sz w:val="18"/>
          <w:szCs w:val="18"/>
        </w:rPr>
        <w:t>y</w:t>
      </w:r>
      <w:r w:rsidRPr="00594287">
        <w:rPr>
          <w:b w:val="0"/>
          <w:sz w:val="18"/>
          <w:szCs w:val="18"/>
        </w:rPr>
        <w:t xml:space="preserve"> musí být úředně ověřen</w:t>
      </w:r>
      <w:r>
        <w:rPr>
          <w:b w:val="0"/>
          <w:sz w:val="18"/>
          <w:szCs w:val="18"/>
        </w:rPr>
        <w:t>y</w:t>
      </w:r>
      <w:r w:rsidRPr="00594287">
        <w:rPr>
          <w:b w:val="0"/>
          <w:sz w:val="18"/>
          <w:szCs w:val="18"/>
        </w:rPr>
        <w:t xml:space="preserve"> v rozsahu odstavce </w:t>
      </w:r>
      <w:proofErr w:type="gramStart"/>
      <w:r w:rsidR="006A6D31">
        <w:fldChar w:fldCharType="begin"/>
      </w:r>
      <w:r w:rsidR="00E23DD3">
        <w:instrText xml:space="preserve"> REF _Ref209578399 \n \h  \* MERGEFORMAT </w:instrText>
      </w:r>
      <w:r w:rsidR="006A6D31">
        <w:fldChar w:fldCharType="separate"/>
      </w:r>
      <w:r w:rsidR="0041431D" w:rsidRPr="0041431D">
        <w:rPr>
          <w:b w:val="0"/>
          <w:sz w:val="18"/>
          <w:szCs w:val="18"/>
        </w:rPr>
        <w:t>2.5</w:t>
      </w:r>
      <w:r w:rsidR="006A6D31">
        <w:fldChar w:fldCharType="end"/>
      </w:r>
      <w:proofErr w:type="gramEnd"/>
      <w:r w:rsidRPr="00594287">
        <w:rPr>
          <w:b w:val="0"/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b w:val="0"/>
            <w:sz w:val="18"/>
            <w:szCs w:val="18"/>
          </w:rPr>
          <w:t>(b)</w:t>
        </w:r>
      </w:fldSimple>
      <w:r w:rsidR="00AF5EE5">
        <w:t>,</w:t>
      </w:r>
      <w:r w:rsidRPr="00594287">
        <w:rPr>
          <w:b w:val="0"/>
          <w:sz w:val="18"/>
          <w:szCs w:val="18"/>
        </w:rPr>
        <w:t xml:space="preserve"> nebo musí být podepsán před zaměstnancem Banky. Právnická osoba a jiné osoby zapsané v obchodním rejstříku nebo jiné obdobné evidenci vedené v zahraničí musí spolu s příkazem doručit Bance </w:t>
      </w:r>
      <w:r>
        <w:rPr>
          <w:b w:val="0"/>
          <w:sz w:val="18"/>
          <w:szCs w:val="18"/>
        </w:rPr>
        <w:t xml:space="preserve">originál nebo úředně ověřenou kopii </w:t>
      </w:r>
      <w:r w:rsidRPr="00594287">
        <w:rPr>
          <w:b w:val="0"/>
          <w:sz w:val="18"/>
          <w:szCs w:val="18"/>
        </w:rPr>
        <w:t>výpis</w:t>
      </w:r>
      <w:r>
        <w:rPr>
          <w:b w:val="0"/>
          <w:sz w:val="18"/>
          <w:szCs w:val="18"/>
        </w:rPr>
        <w:t>u</w:t>
      </w:r>
      <w:r w:rsidRPr="00594287">
        <w:rPr>
          <w:b w:val="0"/>
          <w:sz w:val="18"/>
          <w:szCs w:val="18"/>
        </w:rPr>
        <w:t xml:space="preserve"> z obchodního rejstříku nebo jiné obdobné evidence ne starší tří (3) měsíců.</w:t>
      </w:r>
    </w:p>
    <w:p w:rsidR="00077059" w:rsidRPr="00A64954" w:rsidRDefault="0066402C" w:rsidP="00077059">
      <w:pPr>
        <w:pStyle w:val="Nadpis3"/>
        <w:keepNext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A64954">
        <w:rPr>
          <w:b w:val="0"/>
          <w:sz w:val="18"/>
          <w:szCs w:val="18"/>
        </w:rPr>
        <w:t xml:space="preserve">V případě, že nabyvatel nemá zřízen majetkový účet, musí být podán spolu s příkazem k převodu i příkaz ke zřízení majetkového účtu v souladu s těmito Pravidly. 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>Banka je oprávněna požadovat, aby ji za účelem provedení příkazu k převodu byl předlo</w:t>
      </w:r>
      <w:r>
        <w:rPr>
          <w:b w:val="0"/>
          <w:sz w:val="18"/>
          <w:szCs w:val="18"/>
        </w:rPr>
        <w:t>žen originál nebo úředně ověřená</w:t>
      </w:r>
      <w:r w:rsidRPr="00C70F8A">
        <w:rPr>
          <w:b w:val="0"/>
          <w:sz w:val="18"/>
          <w:szCs w:val="18"/>
        </w:rPr>
        <w:t xml:space="preserve"> kopie právního titulu, který je podkladem pro převod </w:t>
      </w:r>
      <w:r>
        <w:rPr>
          <w:b w:val="0"/>
          <w:sz w:val="18"/>
          <w:szCs w:val="18"/>
        </w:rPr>
        <w:t>CP</w:t>
      </w:r>
      <w:r w:rsidRPr="00C70F8A">
        <w:rPr>
          <w:b w:val="0"/>
          <w:sz w:val="18"/>
          <w:szCs w:val="18"/>
        </w:rPr>
        <w:t>, včetně úředně ověřených podpisů</w:t>
      </w:r>
      <w:r>
        <w:rPr>
          <w:b w:val="0"/>
          <w:sz w:val="18"/>
          <w:szCs w:val="18"/>
        </w:rPr>
        <w:t xml:space="preserve"> </w:t>
      </w:r>
      <w:r w:rsidRPr="00594287">
        <w:rPr>
          <w:b w:val="0"/>
          <w:sz w:val="18"/>
          <w:szCs w:val="18"/>
        </w:rPr>
        <w:t xml:space="preserve">rozsahu odstavce </w:t>
      </w:r>
      <w:proofErr w:type="gramStart"/>
      <w:r w:rsidR="006A6D31">
        <w:fldChar w:fldCharType="begin"/>
      </w:r>
      <w:r w:rsidR="00E23DD3">
        <w:instrText xml:space="preserve"> REF _Ref209578399 \n \h  \* MERGEFORMAT </w:instrText>
      </w:r>
      <w:r w:rsidR="006A6D31">
        <w:fldChar w:fldCharType="separate"/>
      </w:r>
      <w:r w:rsidR="0041431D" w:rsidRPr="0041431D">
        <w:rPr>
          <w:b w:val="0"/>
          <w:sz w:val="18"/>
          <w:szCs w:val="18"/>
        </w:rPr>
        <w:t>2.5</w:t>
      </w:r>
      <w:r w:rsidR="006A6D31">
        <w:fldChar w:fldCharType="end"/>
      </w:r>
      <w:proofErr w:type="gramEnd"/>
      <w:r w:rsidRPr="00594287">
        <w:rPr>
          <w:b w:val="0"/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b w:val="0"/>
            <w:sz w:val="18"/>
            <w:szCs w:val="18"/>
          </w:rPr>
          <w:t>(b)</w:t>
        </w:r>
      </w:fldSimple>
      <w:r w:rsidRPr="00C70F8A">
        <w:rPr>
          <w:b w:val="0"/>
          <w:sz w:val="18"/>
          <w:szCs w:val="18"/>
        </w:rPr>
        <w:t>, a to zejména kupní nebo darovací smlouvu.</w:t>
      </w:r>
      <w:r w:rsidRPr="00B525BD">
        <w:rPr>
          <w:b w:val="0"/>
          <w:sz w:val="18"/>
          <w:szCs w:val="18"/>
        </w:rPr>
        <w:t xml:space="preserve"> </w:t>
      </w:r>
    </w:p>
    <w:p w:rsidR="00077059" w:rsidRPr="00A64954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A64954">
        <w:rPr>
          <w:b w:val="0"/>
          <w:sz w:val="18"/>
          <w:szCs w:val="18"/>
        </w:rPr>
        <w:t>V </w:t>
      </w:r>
      <w:r w:rsidR="0066402C" w:rsidRPr="00A64954">
        <w:rPr>
          <w:b w:val="0"/>
          <w:sz w:val="18"/>
          <w:szCs w:val="18"/>
        </w:rPr>
        <w:t>případě, kdy dochází k převodu z důvodu uplatnění práva vlastníka Dluhopisů na odprodej Dluhopisů emitentovi nebo práva emitenta na odkup Dluhopisů od vlastníků Dluhopisů v souladu s emisními podmínkami budou ustanovení o náležitostech příkazu k zápisu převodu přiměřené modifikovány.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20" w:after="240"/>
        <w:ind w:left="425" w:hanging="425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 xml:space="preserve">Přechod </w:t>
      </w:r>
      <w:r>
        <w:rPr>
          <w:b/>
          <w:sz w:val="18"/>
          <w:szCs w:val="18"/>
        </w:rPr>
        <w:t>CP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 xml:space="preserve">Přechodem se rozumí změna vlastníka na základě jiné právní skutečnosti, než na základě smluvního převodu </w:t>
      </w:r>
      <w:r>
        <w:rPr>
          <w:sz w:val="18"/>
          <w:szCs w:val="18"/>
        </w:rPr>
        <w:t>CP</w:t>
      </w:r>
      <w:r w:rsidRPr="002B3146">
        <w:rPr>
          <w:sz w:val="18"/>
          <w:szCs w:val="18"/>
        </w:rPr>
        <w:t xml:space="preserve"> upraveného v článku </w:t>
      </w:r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_Ref260732541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8</w:t>
      </w:r>
      <w:r w:rsidR="006A6D31">
        <w:rPr>
          <w:sz w:val="18"/>
          <w:szCs w:val="18"/>
        </w:rPr>
        <w:fldChar w:fldCharType="end"/>
      </w:r>
      <w:r w:rsidRPr="002B3146">
        <w:rPr>
          <w:sz w:val="18"/>
          <w:szCs w:val="18"/>
        </w:rPr>
        <w:t xml:space="preserve">. Příkaz k zápisu přechodu </w:t>
      </w:r>
      <w:r>
        <w:rPr>
          <w:sz w:val="18"/>
          <w:szCs w:val="18"/>
        </w:rPr>
        <w:t>CP</w:t>
      </w:r>
      <w:r w:rsidRPr="002B3146">
        <w:rPr>
          <w:sz w:val="18"/>
          <w:szCs w:val="18"/>
        </w:rPr>
        <w:t xml:space="preserve"> je oprávněn podat nabyvatel, státní orgán a osoba, která je k podání takového příkazu oprávněná na základě právních předpisů.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2B3146">
        <w:rPr>
          <w:b w:val="0"/>
          <w:sz w:val="18"/>
          <w:szCs w:val="18"/>
        </w:rPr>
        <w:t>Banka je oprávněna požadovat, aby příkaz k přechodu obsahoval minimálně</w:t>
      </w:r>
      <w:r w:rsidR="00AF227C">
        <w:rPr>
          <w:b w:val="0"/>
          <w:sz w:val="18"/>
          <w:szCs w:val="18"/>
        </w:rPr>
        <w:t>:</w:t>
      </w:r>
    </w:p>
    <w:p w:rsidR="00077059" w:rsidRDefault="00B415B2" w:rsidP="00077059">
      <w:pPr>
        <w:pStyle w:val="Nadpis3"/>
        <w:numPr>
          <w:ilvl w:val="0"/>
          <w:numId w:val="40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2B3146">
        <w:rPr>
          <w:b w:val="0"/>
          <w:sz w:val="18"/>
          <w:szCs w:val="18"/>
        </w:rPr>
        <w:t xml:space="preserve">identifikační údaje dosavadního Vlastníka </w:t>
      </w:r>
      <w:r>
        <w:rPr>
          <w:b w:val="0"/>
          <w:sz w:val="18"/>
          <w:szCs w:val="18"/>
        </w:rPr>
        <w:t>CP</w:t>
      </w:r>
      <w:r w:rsidRPr="002B3146">
        <w:rPr>
          <w:b w:val="0"/>
          <w:sz w:val="18"/>
          <w:szCs w:val="18"/>
        </w:rPr>
        <w:t xml:space="preserve"> a nabyvatele v rozsahu údajů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b w:val="0"/>
          <w:sz w:val="18"/>
          <w:szCs w:val="18"/>
        </w:rPr>
        <w:t>3.2</w:t>
      </w:r>
      <w:r w:rsidR="006A6D31">
        <w:fldChar w:fldCharType="end"/>
      </w:r>
      <w:proofErr w:type="gramEnd"/>
      <w:r w:rsidRPr="002B3146">
        <w:rPr>
          <w:b w:val="0"/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b w:val="0"/>
            <w:sz w:val="18"/>
            <w:szCs w:val="18"/>
          </w:rPr>
          <w:t>(c)</w:t>
        </w:r>
      </w:fldSimple>
      <w:r w:rsidRPr="002B3146">
        <w:rPr>
          <w:b w:val="0"/>
          <w:sz w:val="18"/>
          <w:szCs w:val="18"/>
        </w:rPr>
        <w:t>;</w:t>
      </w:r>
    </w:p>
    <w:p w:rsidR="00077059" w:rsidRDefault="00B415B2" w:rsidP="00077059">
      <w:pPr>
        <w:pStyle w:val="Nadpis3"/>
        <w:numPr>
          <w:ilvl w:val="0"/>
          <w:numId w:val="40"/>
        </w:numPr>
        <w:overflowPunct/>
        <w:autoSpaceDE/>
        <w:autoSpaceDN/>
        <w:adjustRightInd/>
        <w:spacing w:after="120"/>
        <w:jc w:val="both"/>
        <w:textAlignment w:val="auto"/>
        <w:rPr>
          <w:b w:val="0"/>
          <w:sz w:val="18"/>
          <w:szCs w:val="18"/>
        </w:rPr>
      </w:pPr>
      <w:r w:rsidRPr="002B3146">
        <w:rPr>
          <w:b w:val="0"/>
          <w:sz w:val="18"/>
          <w:szCs w:val="18"/>
        </w:rPr>
        <w:t>identifikační údaje osoby, která příkaz činí;</w:t>
      </w:r>
    </w:p>
    <w:p w:rsidR="00077059" w:rsidRPr="00A64954" w:rsidRDefault="0066402C" w:rsidP="00077059">
      <w:pPr>
        <w:numPr>
          <w:ilvl w:val="0"/>
          <w:numId w:val="40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A64954">
        <w:rPr>
          <w:sz w:val="18"/>
          <w:szCs w:val="18"/>
        </w:rPr>
        <w:t xml:space="preserve">číslo majetkového účtu dosavadního Vlastníka CP a nabyvatele; </w:t>
      </w:r>
    </w:p>
    <w:p w:rsidR="00077059" w:rsidRDefault="00B415B2" w:rsidP="00077059">
      <w:pPr>
        <w:numPr>
          <w:ilvl w:val="0"/>
          <w:numId w:val="40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 xml:space="preserve">identifikaci přecházejících </w:t>
      </w:r>
      <w:r>
        <w:rPr>
          <w:sz w:val="18"/>
          <w:szCs w:val="18"/>
        </w:rPr>
        <w:t>CP</w:t>
      </w:r>
      <w:r w:rsidRPr="002B3146">
        <w:rPr>
          <w:sz w:val="18"/>
          <w:szCs w:val="18"/>
        </w:rPr>
        <w:t xml:space="preserve">, tj. ISIN a počet </w:t>
      </w:r>
      <w:r>
        <w:rPr>
          <w:sz w:val="18"/>
          <w:szCs w:val="18"/>
        </w:rPr>
        <w:t>CP</w:t>
      </w:r>
      <w:r w:rsidRPr="002B3146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40"/>
        </w:numPr>
        <w:overflowPunct/>
        <w:autoSpaceDE/>
        <w:autoSpaceDN/>
        <w:adjustRightInd/>
        <w:spacing w:after="240"/>
        <w:ind w:left="782" w:hanging="357"/>
        <w:jc w:val="both"/>
        <w:textAlignment w:val="auto"/>
        <w:rPr>
          <w:sz w:val="18"/>
          <w:szCs w:val="18"/>
        </w:rPr>
      </w:pPr>
      <w:r w:rsidRPr="002B3146">
        <w:rPr>
          <w:sz w:val="18"/>
          <w:szCs w:val="18"/>
        </w:rPr>
        <w:t>důvod přechodu.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2B3146">
        <w:rPr>
          <w:b w:val="0"/>
          <w:sz w:val="18"/>
          <w:szCs w:val="18"/>
        </w:rPr>
        <w:t xml:space="preserve">Příkaz k přechodu musí být podepsán oprávněnou osobou, jejíž podpis musí být úředně ověřen v rozsahu odstavce </w:t>
      </w:r>
      <w:proofErr w:type="gramStart"/>
      <w:r w:rsidR="006A6D31">
        <w:rPr>
          <w:b w:val="0"/>
          <w:sz w:val="18"/>
          <w:szCs w:val="18"/>
        </w:rPr>
        <w:fldChar w:fldCharType="begin"/>
      </w:r>
      <w:r>
        <w:rPr>
          <w:b w:val="0"/>
          <w:sz w:val="18"/>
          <w:szCs w:val="18"/>
        </w:rPr>
        <w:instrText xml:space="preserve"> REF _Ref211056458 \r \h </w:instrText>
      </w:r>
      <w:r w:rsidR="006A6D31">
        <w:rPr>
          <w:b w:val="0"/>
          <w:sz w:val="18"/>
          <w:szCs w:val="18"/>
        </w:rPr>
      </w:r>
      <w:r w:rsidR="006A6D31">
        <w:rPr>
          <w:b w:val="0"/>
          <w:sz w:val="18"/>
          <w:szCs w:val="18"/>
        </w:rPr>
        <w:fldChar w:fldCharType="separate"/>
      </w:r>
      <w:r w:rsidR="0041431D">
        <w:rPr>
          <w:b w:val="0"/>
          <w:sz w:val="18"/>
          <w:szCs w:val="18"/>
        </w:rPr>
        <w:t>2.6</w:t>
      </w:r>
      <w:r w:rsidR="006A6D31">
        <w:rPr>
          <w:b w:val="0"/>
          <w:sz w:val="18"/>
          <w:szCs w:val="18"/>
        </w:rPr>
        <w:fldChar w:fldCharType="end"/>
      </w:r>
      <w:proofErr w:type="gramEnd"/>
      <w:r w:rsidRPr="002B3146">
        <w:rPr>
          <w:b w:val="0"/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b w:val="0"/>
            <w:sz w:val="18"/>
            <w:szCs w:val="18"/>
          </w:rPr>
          <w:t>(b)</w:t>
        </w:r>
      </w:fldSimple>
      <w:r w:rsidRPr="002B3146">
        <w:rPr>
          <w:b w:val="0"/>
          <w:sz w:val="18"/>
          <w:szCs w:val="18"/>
        </w:rPr>
        <w:t xml:space="preserve"> nebo musí být podepsán před zaměstnancem Banky. </w:t>
      </w:r>
      <w:r w:rsidRPr="0049710C">
        <w:rPr>
          <w:b w:val="0"/>
          <w:sz w:val="18"/>
          <w:szCs w:val="18"/>
        </w:rPr>
        <w:t xml:space="preserve">Právnická osoba a jiné osoby zapsané v obchodním rejstříku nebo jiné obdobné evidenci vedené v zahraničí musí </w:t>
      </w:r>
      <w:r w:rsidR="0049710C" w:rsidRPr="0049710C">
        <w:rPr>
          <w:b w:val="0"/>
          <w:sz w:val="18"/>
          <w:szCs w:val="18"/>
        </w:rPr>
        <w:t xml:space="preserve">na výzvu Banky </w:t>
      </w:r>
      <w:r w:rsidRPr="0049710C">
        <w:rPr>
          <w:b w:val="0"/>
          <w:sz w:val="18"/>
          <w:szCs w:val="18"/>
        </w:rPr>
        <w:t>spolu s příkazem doručit Bance originál nebo úředně ověřenou kopii výpisu z obchodního rejstříku nebo jiné obdobné evidence ne starší tří (3) měsíců.</w:t>
      </w:r>
      <w:r w:rsidRPr="002B3146">
        <w:rPr>
          <w:b w:val="0"/>
          <w:sz w:val="18"/>
          <w:szCs w:val="18"/>
        </w:rPr>
        <w:t xml:space="preserve"> V případě, kdy příkaz činí státní orgán, musí být opatřen otiskem úředního razítka se státním znakem, podpisovou doložkou s čitelně uvedeným jménem, příjmením a funkcí a musí být podepsán.</w:t>
      </w:r>
    </w:p>
    <w:p w:rsidR="00077059" w:rsidRDefault="00B415B2" w:rsidP="00077059">
      <w:pPr>
        <w:pStyle w:val="Nadpis3"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b w:val="0"/>
          <w:sz w:val="18"/>
          <w:szCs w:val="18"/>
        </w:rPr>
      </w:pPr>
      <w:r w:rsidRPr="00C70F8A">
        <w:rPr>
          <w:b w:val="0"/>
          <w:sz w:val="18"/>
          <w:szCs w:val="18"/>
        </w:rPr>
        <w:t xml:space="preserve">Banka je oprávněna požadovat, aby ji za účelem provedení příkazu k přechodu byl předložen originál nebo úředně ověřená kopie právního titulu, který je podkladem pro přechod </w:t>
      </w:r>
      <w:r>
        <w:rPr>
          <w:b w:val="0"/>
          <w:sz w:val="18"/>
          <w:szCs w:val="18"/>
        </w:rPr>
        <w:t>CP.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82" w:hanging="482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Zástavní právo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Smluvní zástavní právo k 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vzniká zápisem tohoto zástavního práva na účtu vlastníka nebo v navazující evidenci.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Zákonné zástavní právo k 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vzniká přímo ze zákona nebo na základě rozhodnutí státního orgánu vydaného podle zvláštního zákona. Toto zástavní právo zapíše Banka nebo osoba vedoucí navazující evidenci s uvedením data jeho vzniku.</w:t>
      </w:r>
    </w:p>
    <w:p w:rsidR="00077059" w:rsidRPr="00A64954" w:rsidRDefault="0066402C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A64954">
        <w:rPr>
          <w:sz w:val="18"/>
          <w:szCs w:val="18"/>
        </w:rPr>
        <w:t xml:space="preserve">Zástavní právo k CP vedeným na účtech zákazníků se zapisuje na účet vlastníka přímo v navazující evidenci bezprostředně poté, kdy byl zápis učiněn na majetkovém účtu zákazníků v evidenci Banky. </w:t>
      </w:r>
    </w:p>
    <w:p w:rsidR="00077059" w:rsidRDefault="00B415B2" w:rsidP="00077059">
      <w:pPr>
        <w:keepNext/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82" w:hanging="482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Vznik a změna zástavního práva</w:t>
      </w:r>
    </w:p>
    <w:p w:rsidR="00077059" w:rsidRDefault="00B415B2" w:rsidP="00077059">
      <w:pPr>
        <w:keepNext/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240"/>
        <w:ind w:left="425" w:hanging="425"/>
        <w:jc w:val="both"/>
        <w:textAlignment w:val="auto"/>
        <w:rPr>
          <w:b/>
          <w:sz w:val="18"/>
          <w:szCs w:val="18"/>
        </w:rPr>
      </w:pPr>
      <w:bookmarkStart w:id="17" w:name="_Ref209498093"/>
      <w:r w:rsidRPr="00C70F8A">
        <w:rPr>
          <w:b/>
          <w:sz w:val="18"/>
          <w:szCs w:val="18"/>
        </w:rPr>
        <w:t>Smluvní zástavní právo</w:t>
      </w:r>
    </w:p>
    <w:p w:rsidR="00077059" w:rsidRDefault="00B415B2" w:rsidP="00077059">
      <w:pPr>
        <w:keepNext/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bookmarkStart w:id="18" w:name="_Ref209500715"/>
      <w:r w:rsidRPr="00C70F8A">
        <w:rPr>
          <w:sz w:val="18"/>
          <w:szCs w:val="18"/>
        </w:rPr>
        <w:t xml:space="preserve">Banka zapíše smluvní zástavní právo </w:t>
      </w:r>
      <w:r>
        <w:rPr>
          <w:sz w:val="18"/>
          <w:szCs w:val="18"/>
        </w:rPr>
        <w:t>na účtu vlastníka</w:t>
      </w:r>
      <w:r w:rsidRPr="00C70F8A">
        <w:rPr>
          <w:sz w:val="18"/>
          <w:szCs w:val="18"/>
        </w:rPr>
        <w:t xml:space="preserve"> na základě příkazu k zápisu, který je oprávněn podat zástavní věřitel, zástavní dlužník nebo zástavce.</w:t>
      </w:r>
      <w:bookmarkEnd w:id="17"/>
      <w:bookmarkEnd w:id="18"/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bookmarkStart w:id="19" w:name="_Ref209510280"/>
      <w:r w:rsidRPr="00C70F8A">
        <w:rPr>
          <w:sz w:val="18"/>
          <w:szCs w:val="18"/>
        </w:rPr>
        <w:t xml:space="preserve">Banka je oprávněná požadovat, aby příkaz podle odstavce </w:t>
      </w:r>
      <w:proofErr w:type="gramStart"/>
      <w:r w:rsidR="006A6D31">
        <w:fldChar w:fldCharType="begin"/>
      </w:r>
      <w:r w:rsidR="00E23DD3">
        <w:instrText xml:space="preserve"> REF _Ref209498093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11.1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 xml:space="preserve"> obsahoval minimálně</w:t>
      </w:r>
      <w:bookmarkEnd w:id="19"/>
      <w:r>
        <w:rPr>
          <w:sz w:val="18"/>
          <w:szCs w:val="18"/>
        </w:rPr>
        <w:t>:</w:t>
      </w:r>
    </w:p>
    <w:p w:rsidR="00077059" w:rsidRDefault="00B415B2" w:rsidP="00077059">
      <w:pPr>
        <w:numPr>
          <w:ilvl w:val="0"/>
          <w:numId w:val="43"/>
        </w:numPr>
        <w:tabs>
          <w:tab w:val="clear" w:pos="5826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lastRenderedPageBreak/>
        <w:t>identifikac</w:t>
      </w:r>
      <w:r w:rsidR="00A325B9">
        <w:rPr>
          <w:sz w:val="18"/>
          <w:szCs w:val="18"/>
        </w:rPr>
        <w:t>i</w:t>
      </w:r>
      <w:r w:rsidRPr="00C70F8A">
        <w:rPr>
          <w:sz w:val="18"/>
          <w:szCs w:val="18"/>
        </w:rPr>
        <w:t xml:space="preserve"> zástavního věřitele, zástavce a zástavního dlužníka, je-li to osoba odlišn</w:t>
      </w:r>
      <w:r>
        <w:rPr>
          <w:sz w:val="18"/>
          <w:szCs w:val="18"/>
        </w:rPr>
        <w:t>á</w:t>
      </w:r>
      <w:r w:rsidRPr="00C70F8A">
        <w:rPr>
          <w:sz w:val="18"/>
          <w:szCs w:val="18"/>
        </w:rPr>
        <w:t xml:space="preserve"> od zástavce, a to v rozsahu údajů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3.2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sz w:val="18"/>
            <w:szCs w:val="18"/>
          </w:rPr>
          <w:t>(c)</w:t>
        </w:r>
      </w:fldSimple>
      <w:r w:rsidRPr="00C70F8A">
        <w:rPr>
          <w:sz w:val="18"/>
          <w:szCs w:val="18"/>
        </w:rPr>
        <w:t>;</w:t>
      </w:r>
    </w:p>
    <w:p w:rsidR="00077059" w:rsidRPr="00A64954" w:rsidRDefault="0066402C" w:rsidP="00077059">
      <w:pPr>
        <w:numPr>
          <w:ilvl w:val="0"/>
          <w:numId w:val="43"/>
        </w:numPr>
        <w:tabs>
          <w:tab w:val="clear" w:pos="5826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A64954">
        <w:rPr>
          <w:sz w:val="18"/>
          <w:szCs w:val="18"/>
        </w:rPr>
        <w:t>číslo majetkového účtu, na kterém mají být CP zastaveny;</w:t>
      </w:r>
    </w:p>
    <w:p w:rsidR="00077059" w:rsidRDefault="00B415B2" w:rsidP="00077059">
      <w:pPr>
        <w:numPr>
          <w:ilvl w:val="0"/>
          <w:numId w:val="43"/>
        </w:numPr>
        <w:tabs>
          <w:tab w:val="clear" w:pos="5826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identifikac</w:t>
      </w:r>
      <w:r w:rsidR="00580D2E">
        <w:rPr>
          <w:sz w:val="18"/>
          <w:szCs w:val="18"/>
        </w:rPr>
        <w:t>i</w:t>
      </w:r>
      <w:r w:rsidRPr="00C70F8A">
        <w:rPr>
          <w:sz w:val="18"/>
          <w:szCs w:val="18"/>
        </w:rPr>
        <w:t xml:space="preserve"> zastavených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, v rozsahu</w:t>
      </w:r>
      <w:r w:rsidR="00580D2E"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 xml:space="preserve">ISIN, počet zastavených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43"/>
        </w:numPr>
        <w:tabs>
          <w:tab w:val="clear" w:pos="5826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vznik zástavního práva a dobu trvání zástavního práva;</w:t>
      </w:r>
    </w:p>
    <w:p w:rsidR="00077059" w:rsidRDefault="00B415B2" w:rsidP="00077059">
      <w:pPr>
        <w:numPr>
          <w:ilvl w:val="0"/>
          <w:numId w:val="43"/>
        </w:numPr>
        <w:tabs>
          <w:tab w:val="clear" w:pos="5826"/>
          <w:tab w:val="num" w:pos="1418"/>
        </w:tabs>
        <w:overflowPunct/>
        <w:autoSpaceDE/>
        <w:autoSpaceDN/>
        <w:adjustRightInd/>
        <w:spacing w:after="240"/>
        <w:ind w:left="1417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výši jistiny pohledávky a dobu její splatnosti, je-li známá</w:t>
      </w:r>
      <w:r>
        <w:rPr>
          <w:sz w:val="18"/>
          <w:szCs w:val="18"/>
        </w:rPr>
        <w:t>,</w:t>
      </w:r>
      <w:r w:rsidRPr="00C70F8A">
        <w:rPr>
          <w:sz w:val="18"/>
          <w:szCs w:val="18"/>
        </w:rPr>
        <w:t xml:space="preserve"> nebo druh pohledávek, pro něž se zástavní právo zřizuje a maximální částku, do které může být zástavní věřitel uspokojen.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bookmarkStart w:id="20" w:name="_Ref209579849"/>
      <w:r w:rsidRPr="00FF6223">
        <w:rPr>
          <w:sz w:val="18"/>
          <w:szCs w:val="18"/>
        </w:rPr>
        <w:t xml:space="preserve">Příkaz k zápisu zástavního práva musí být podepsán a podpis musí být úředně ověřen v rozsahu odstavce </w:t>
      </w:r>
      <w:proofErr w:type="gramStart"/>
      <w:r w:rsidR="006A6D31">
        <w:fldChar w:fldCharType="begin"/>
      </w:r>
      <w:r w:rsidR="00E23DD3">
        <w:instrText xml:space="preserve"> REF _Ref211056458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2.6</w:t>
      </w:r>
      <w:r w:rsidR="006A6D31">
        <w:fldChar w:fldCharType="end"/>
      </w:r>
      <w:proofErr w:type="gramEnd"/>
      <w:r w:rsidRPr="00FF6223">
        <w:rPr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sz w:val="18"/>
            <w:szCs w:val="18"/>
          </w:rPr>
          <w:t>(b)</w:t>
        </w:r>
      </w:fldSimple>
      <w:r w:rsidRPr="00FF6223">
        <w:rPr>
          <w:sz w:val="18"/>
          <w:szCs w:val="18"/>
        </w:rPr>
        <w:t xml:space="preserve"> nebo musí být podepsán před zaměstnancem Banky. Právnická osoba a jiné osoby zapsané v obchodním rejstříku nebo jiné obdobné evidenci vedené v zahraničí musí </w:t>
      </w:r>
      <w:r w:rsidR="00FF6223">
        <w:rPr>
          <w:sz w:val="18"/>
          <w:szCs w:val="18"/>
        </w:rPr>
        <w:t xml:space="preserve">na výzvu Banky </w:t>
      </w:r>
      <w:r w:rsidRPr="00FF6223">
        <w:rPr>
          <w:sz w:val="18"/>
          <w:szCs w:val="18"/>
        </w:rPr>
        <w:t>spolu s příkazem doručit Bance originál nebo úředně ověřenou kopii výpisu z obchodního rejstříku nebo jiné obdobné evidence ne starší tří (3) měsíců.</w:t>
      </w:r>
      <w:bookmarkEnd w:id="20"/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Spolu s příkazem musí být Bance předložen </w:t>
      </w:r>
      <w:r>
        <w:rPr>
          <w:sz w:val="18"/>
          <w:szCs w:val="18"/>
        </w:rPr>
        <w:t xml:space="preserve">rovněž </w:t>
      </w:r>
      <w:r w:rsidRPr="00C70F8A">
        <w:rPr>
          <w:sz w:val="18"/>
          <w:szCs w:val="18"/>
        </w:rPr>
        <w:t xml:space="preserve">originál nebo </w:t>
      </w:r>
      <w:r>
        <w:rPr>
          <w:sz w:val="18"/>
          <w:szCs w:val="18"/>
        </w:rPr>
        <w:t xml:space="preserve">úředně </w:t>
      </w:r>
      <w:r w:rsidRPr="00C70F8A">
        <w:rPr>
          <w:sz w:val="18"/>
          <w:szCs w:val="18"/>
        </w:rPr>
        <w:t>ověřená kopie zástavní smlouvy</w:t>
      </w:r>
      <w:r w:rsidR="00FF6223">
        <w:rPr>
          <w:sz w:val="18"/>
          <w:szCs w:val="18"/>
        </w:rPr>
        <w:t>.</w:t>
      </w:r>
      <w:r w:rsidRPr="00C70F8A">
        <w:rPr>
          <w:sz w:val="18"/>
          <w:szCs w:val="18"/>
        </w:rPr>
        <w:t xml:space="preserve"> V případě, že všechny náležitosti příkazu nevyplývají ze zástavní smlouvy, je Banka oprávněná požadovat předložení dalších dokument</w:t>
      </w:r>
      <w:r>
        <w:rPr>
          <w:sz w:val="18"/>
          <w:szCs w:val="18"/>
        </w:rPr>
        <w:t>ů</w:t>
      </w:r>
      <w:r w:rsidRPr="00C70F8A">
        <w:rPr>
          <w:sz w:val="18"/>
          <w:szCs w:val="18"/>
        </w:rPr>
        <w:t>, z nichž bude možno náležitosti ověřit.</w:t>
      </w:r>
      <w:r>
        <w:rPr>
          <w:sz w:val="18"/>
          <w:szCs w:val="18"/>
        </w:rPr>
        <w:t xml:space="preserve"> Podpisy na zástavní smlouvě nebo případně dalších dokumentech musí být úředně ověřeny </w:t>
      </w:r>
      <w:r w:rsidRPr="00CA4719">
        <w:rPr>
          <w:sz w:val="18"/>
          <w:szCs w:val="18"/>
        </w:rPr>
        <w:t xml:space="preserve">v rozsahu odstavce </w:t>
      </w:r>
      <w:proofErr w:type="gramStart"/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_Ref211056458 \r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2.6</w:t>
      </w:r>
      <w:r w:rsidR="006A6D31">
        <w:rPr>
          <w:sz w:val="18"/>
          <w:szCs w:val="18"/>
        </w:rPr>
        <w:fldChar w:fldCharType="end"/>
      </w:r>
      <w:proofErr w:type="gramEnd"/>
      <w:r w:rsidRPr="00CA4719">
        <w:rPr>
          <w:sz w:val="18"/>
          <w:szCs w:val="18"/>
        </w:rPr>
        <w:t xml:space="preserve"> písm. </w:t>
      </w:r>
      <w:fldSimple w:instr=" REF _Ref209578402 \n \h  \* MERGEFORMAT ">
        <w:r w:rsidR="0041431D" w:rsidRPr="0041431D">
          <w:rPr>
            <w:sz w:val="18"/>
            <w:szCs w:val="18"/>
          </w:rPr>
          <w:t>(b)</w:t>
        </w:r>
      </w:fldSimple>
      <w:r>
        <w:rPr>
          <w:sz w:val="18"/>
          <w:szCs w:val="18"/>
        </w:rPr>
        <w:t>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Při </w:t>
      </w:r>
      <w:r>
        <w:rPr>
          <w:sz w:val="18"/>
          <w:szCs w:val="18"/>
        </w:rPr>
        <w:t>zápisu</w:t>
      </w:r>
      <w:r w:rsidRPr="00C70F8A">
        <w:rPr>
          <w:sz w:val="18"/>
          <w:szCs w:val="18"/>
        </w:rPr>
        <w:t xml:space="preserve"> zástavního práva vzniklého ze soudem schválené dědické dohody se postupuje obdobně jako při </w:t>
      </w:r>
      <w:r>
        <w:rPr>
          <w:sz w:val="18"/>
          <w:szCs w:val="18"/>
        </w:rPr>
        <w:t>zápisu</w:t>
      </w:r>
      <w:r w:rsidRPr="00C70F8A">
        <w:rPr>
          <w:sz w:val="18"/>
          <w:szCs w:val="18"/>
        </w:rPr>
        <w:t xml:space="preserve"> smluvního zástavního práva. Místo zástavní smlouvy je nutno přiložit originál nebo </w:t>
      </w:r>
      <w:r>
        <w:rPr>
          <w:sz w:val="18"/>
          <w:szCs w:val="18"/>
        </w:rPr>
        <w:t xml:space="preserve">úředně </w:t>
      </w:r>
      <w:r w:rsidRPr="00C70F8A">
        <w:rPr>
          <w:sz w:val="18"/>
          <w:szCs w:val="18"/>
        </w:rPr>
        <w:t xml:space="preserve">ověřenou kopii pravomocného usnesení soudu o vypořádání dědictví, které je Banka oprávněna si ponechat. 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Banka zapíše smluvní zástavní právo na účtu zákazníků na základě příkazu k zápisu, který podává majitel takového účtu zákazníků. Pro náležitosti příkazů se odstavec </w:t>
      </w:r>
      <w:proofErr w:type="gramStart"/>
      <w:r w:rsidR="006A6D31"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_Ref209510280 \n \h </w:instrText>
      </w:r>
      <w:r w:rsidR="006A6D31">
        <w:rPr>
          <w:sz w:val="18"/>
          <w:szCs w:val="18"/>
        </w:rPr>
      </w:r>
      <w:r w:rsidR="006A6D31">
        <w:rPr>
          <w:sz w:val="18"/>
          <w:szCs w:val="18"/>
        </w:rPr>
        <w:fldChar w:fldCharType="separate"/>
      </w:r>
      <w:r w:rsidR="0041431D">
        <w:rPr>
          <w:sz w:val="18"/>
          <w:szCs w:val="18"/>
        </w:rPr>
        <w:t>11.1.2</w:t>
      </w:r>
      <w:r w:rsidR="006A6D31">
        <w:rPr>
          <w:sz w:val="18"/>
          <w:szCs w:val="18"/>
        </w:rPr>
        <w:fldChar w:fldCharType="end"/>
      </w:r>
      <w:proofErr w:type="gramEnd"/>
      <w:r>
        <w:rPr>
          <w:sz w:val="18"/>
          <w:szCs w:val="18"/>
        </w:rPr>
        <w:t xml:space="preserve"> použije obdobně.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Příkaz k zápisu změny zástavní</w:t>
      </w:r>
      <w:r>
        <w:rPr>
          <w:sz w:val="18"/>
          <w:szCs w:val="18"/>
        </w:rPr>
        <w:t>ho</w:t>
      </w:r>
      <w:r w:rsidRPr="00C70F8A">
        <w:rPr>
          <w:sz w:val="18"/>
          <w:szCs w:val="18"/>
        </w:rPr>
        <w:t xml:space="preserve"> práva může podat osoba uvedená v odstavci </w:t>
      </w:r>
      <w:proofErr w:type="gramStart"/>
      <w:r w:rsidR="006A6D31">
        <w:fldChar w:fldCharType="begin"/>
      </w:r>
      <w:r w:rsidR="00E23DD3">
        <w:instrText xml:space="preserve"> REF _Ref209500715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11.1.1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 xml:space="preserve"> a musí jej doložit originálem nebo úředně ověřenou kopii dokladů, který osvědčí prováděné změny. Pro náležitosti příkazu se obdobně použije ustanovení odstavce </w:t>
      </w:r>
      <w:proofErr w:type="gramStart"/>
      <w:r w:rsidR="006A6D31">
        <w:fldChar w:fldCharType="begin"/>
      </w:r>
      <w:r w:rsidR="00E23DD3">
        <w:instrText xml:space="preserve"> REF _Ref209510280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11.1.2</w:t>
      </w:r>
      <w:r w:rsidR="006A6D31">
        <w:fldChar w:fldCharType="end"/>
      </w:r>
      <w:proofErr w:type="gramEnd"/>
      <w:r>
        <w:rPr>
          <w:sz w:val="18"/>
          <w:szCs w:val="18"/>
        </w:rPr>
        <w:t xml:space="preserve"> a </w:t>
      </w:r>
      <w:fldSimple w:instr=" REF _Ref209579849 \n \h  \* MERGEFORMAT ">
        <w:r w:rsidR="0041431D" w:rsidRPr="0041431D">
          <w:rPr>
            <w:sz w:val="18"/>
            <w:szCs w:val="18"/>
          </w:rPr>
          <w:t>11.1.3</w:t>
        </w:r>
      </w:fldSimple>
      <w:r>
        <w:rPr>
          <w:sz w:val="18"/>
          <w:szCs w:val="18"/>
        </w:rPr>
        <w:t>.</w:t>
      </w:r>
      <w:r w:rsidRPr="00E51D66"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>Příkaz k zápisu změny zástavní</w:t>
      </w:r>
      <w:r>
        <w:rPr>
          <w:sz w:val="18"/>
          <w:szCs w:val="18"/>
        </w:rPr>
        <w:t>ho</w:t>
      </w:r>
      <w:r w:rsidRPr="00C70F8A">
        <w:rPr>
          <w:sz w:val="18"/>
          <w:szCs w:val="18"/>
        </w:rPr>
        <w:t xml:space="preserve"> práva</w:t>
      </w:r>
      <w:r>
        <w:rPr>
          <w:sz w:val="18"/>
          <w:szCs w:val="18"/>
        </w:rPr>
        <w:t xml:space="preserve"> v případě účtu zákazníků podává majitel takového účtu. 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20" w:after="240"/>
        <w:ind w:left="425" w:hanging="425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Zákonné zástavní právo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bookmarkStart w:id="21" w:name="_Ref209500719"/>
      <w:r w:rsidRPr="00314E58">
        <w:rPr>
          <w:sz w:val="18"/>
          <w:szCs w:val="18"/>
        </w:rPr>
        <w:t>Banka zapíše zákonné zástavní právo na účtu vlastníka na základě příkazu k zápisu, který podává státní orgán formou pravomocného a vykonatelného rozhodnutí.</w:t>
      </w:r>
      <w:bookmarkEnd w:id="21"/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bookmarkStart w:id="22" w:name="_Ref209500352"/>
      <w:bookmarkStart w:id="23" w:name="_Ref209510354"/>
      <w:r w:rsidRPr="00314E58">
        <w:rPr>
          <w:sz w:val="18"/>
          <w:szCs w:val="18"/>
        </w:rPr>
        <w:t>Banka je oprávněná požadovat, aby rozhodnutí podle odstavce</w:t>
      </w:r>
      <w:bookmarkEnd w:id="22"/>
      <w:r w:rsidRPr="00314E58">
        <w:rPr>
          <w:sz w:val="18"/>
          <w:szCs w:val="18"/>
        </w:rPr>
        <w:t xml:space="preserve"> </w:t>
      </w:r>
      <w:proofErr w:type="gramStart"/>
      <w:r w:rsidR="006A6D31">
        <w:fldChar w:fldCharType="begin"/>
      </w:r>
      <w:r w:rsidR="00E23DD3">
        <w:instrText xml:space="preserve"> REF _Ref209500719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11.2.1</w:t>
      </w:r>
      <w:r w:rsidR="006A6D31">
        <w:fldChar w:fldCharType="end"/>
      </w:r>
      <w:proofErr w:type="gramEnd"/>
      <w:r w:rsidRPr="00314E58">
        <w:rPr>
          <w:sz w:val="18"/>
          <w:szCs w:val="18"/>
        </w:rPr>
        <w:t xml:space="preserve"> obsahovalo minimálně</w:t>
      </w:r>
      <w:bookmarkEnd w:id="23"/>
    </w:p>
    <w:p w:rsidR="00077059" w:rsidRDefault="00B415B2" w:rsidP="00077059">
      <w:pPr>
        <w:numPr>
          <w:ilvl w:val="0"/>
          <w:numId w:val="35"/>
        </w:numPr>
        <w:tabs>
          <w:tab w:val="clear" w:pos="5760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>označení státního orgánu, který rozhodnutí vydal;</w:t>
      </w:r>
    </w:p>
    <w:p w:rsidR="00077059" w:rsidRDefault="00B415B2" w:rsidP="00077059">
      <w:pPr>
        <w:numPr>
          <w:ilvl w:val="0"/>
          <w:numId w:val="35"/>
        </w:numPr>
        <w:tabs>
          <w:tab w:val="clear" w:pos="5760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 xml:space="preserve">identifikaci zástavního věřitele, zástavce a zástavního dlužníka, je-li to osoba odlišná od zástavce, a to v rozsahu údajů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3.2</w:t>
      </w:r>
      <w:r w:rsidR="006A6D31">
        <w:fldChar w:fldCharType="end"/>
      </w:r>
      <w:proofErr w:type="gramEnd"/>
      <w:r w:rsidRPr="00314E58">
        <w:rPr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sz w:val="18"/>
            <w:szCs w:val="18"/>
          </w:rPr>
          <w:t>(c)</w:t>
        </w:r>
      </w:fldSimple>
      <w:r w:rsidRPr="00314E58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35"/>
        </w:numPr>
        <w:tabs>
          <w:tab w:val="clear" w:pos="5760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 xml:space="preserve">identifikace zastavených </w:t>
      </w:r>
      <w:r>
        <w:rPr>
          <w:sz w:val="18"/>
          <w:szCs w:val="18"/>
        </w:rPr>
        <w:t>CP</w:t>
      </w:r>
      <w:r w:rsidRPr="00314E58">
        <w:rPr>
          <w:sz w:val="18"/>
          <w:szCs w:val="18"/>
        </w:rPr>
        <w:t xml:space="preserve">, v rozsahu ISIN, počet zastavených </w:t>
      </w:r>
      <w:r>
        <w:rPr>
          <w:sz w:val="18"/>
          <w:szCs w:val="18"/>
        </w:rPr>
        <w:t>CP</w:t>
      </w:r>
      <w:r w:rsidRPr="00314E58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35"/>
        </w:numPr>
        <w:tabs>
          <w:tab w:val="clear" w:pos="5760"/>
          <w:tab w:val="num" w:pos="1418"/>
        </w:tabs>
        <w:overflowPunct/>
        <w:autoSpaceDE/>
        <w:autoSpaceDN/>
        <w:adjustRightInd/>
        <w:spacing w:after="120"/>
        <w:ind w:left="1418" w:hanging="425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>vznik zástavního práva a dobu trvání zástavního práva;</w:t>
      </w:r>
    </w:p>
    <w:p w:rsidR="00077059" w:rsidRPr="00A64954" w:rsidRDefault="0066402C" w:rsidP="00077059">
      <w:pPr>
        <w:numPr>
          <w:ilvl w:val="0"/>
          <w:numId w:val="35"/>
        </w:numPr>
        <w:tabs>
          <w:tab w:val="clear" w:pos="5760"/>
          <w:tab w:val="num" w:pos="1418"/>
        </w:tabs>
        <w:overflowPunct/>
        <w:autoSpaceDE/>
        <w:autoSpaceDN/>
        <w:adjustRightInd/>
        <w:spacing w:after="240"/>
        <w:ind w:left="1417" w:hanging="425"/>
        <w:jc w:val="both"/>
        <w:textAlignment w:val="auto"/>
        <w:rPr>
          <w:sz w:val="18"/>
          <w:szCs w:val="18"/>
        </w:rPr>
      </w:pPr>
      <w:r w:rsidRPr="00A64954">
        <w:rPr>
          <w:sz w:val="18"/>
          <w:szCs w:val="18"/>
        </w:rPr>
        <w:t>výši jistiny pohledávky a dobu její splatnosti, je-li známá nebo druh pohledávek, pro něž se zástavní právo zřizuje a maximální částku, do které může být zástavní věřitel uspokojen.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 xml:space="preserve">Rozhodnutí podle odstavce </w:t>
      </w:r>
      <w:proofErr w:type="gramStart"/>
      <w:r w:rsidR="006A6D31">
        <w:fldChar w:fldCharType="begin"/>
      </w:r>
      <w:r w:rsidR="00E23DD3">
        <w:instrText xml:space="preserve"> REF _Ref209500719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11.2.1</w:t>
      </w:r>
      <w:r w:rsidR="006A6D31">
        <w:fldChar w:fldCharType="end"/>
      </w:r>
      <w:proofErr w:type="gramEnd"/>
      <w:r w:rsidRPr="00314E58">
        <w:rPr>
          <w:sz w:val="18"/>
          <w:szCs w:val="18"/>
        </w:rPr>
        <w:t xml:space="preserve"> musí být opatřeno otiskem úředního razítka se státním znakem, čitelnou doložkou právní moci a vykonatelnosti (připadá-li v úvahu), čitelně uvedeným jménem, příjmením, funkcí a podpisem oprávněné osoby.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 xml:space="preserve">Banka zapíše zákonné zástavní právo na účtu zákazníků na základě příkazu k zápisu, který podává majitel takového účtu zákazníků. Pro náležitosti příkazů se odstavec </w:t>
      </w:r>
      <w:proofErr w:type="gramStart"/>
      <w:r w:rsidR="006A6D31">
        <w:fldChar w:fldCharType="begin"/>
      </w:r>
      <w:r w:rsidR="00E23DD3">
        <w:instrText xml:space="preserve"> REF _Ref209510354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11.2.2</w:t>
      </w:r>
      <w:r w:rsidR="006A6D31">
        <w:fldChar w:fldCharType="end"/>
      </w:r>
      <w:proofErr w:type="gramEnd"/>
      <w:r w:rsidRPr="00314E58">
        <w:rPr>
          <w:sz w:val="18"/>
          <w:szCs w:val="18"/>
        </w:rPr>
        <w:t xml:space="preserve"> použije obdobně.</w:t>
      </w:r>
    </w:p>
    <w:p w:rsidR="00077059" w:rsidRDefault="00B415B2" w:rsidP="00077059">
      <w:pPr>
        <w:numPr>
          <w:ilvl w:val="2"/>
          <w:numId w:val="34"/>
        </w:numPr>
        <w:tabs>
          <w:tab w:val="clear" w:pos="720"/>
          <w:tab w:val="num" w:pos="993"/>
        </w:tabs>
        <w:overflowPunct/>
        <w:autoSpaceDE/>
        <w:autoSpaceDN/>
        <w:adjustRightInd/>
        <w:spacing w:after="120"/>
        <w:ind w:left="993" w:hanging="567"/>
        <w:jc w:val="both"/>
        <w:textAlignment w:val="auto"/>
        <w:rPr>
          <w:sz w:val="18"/>
          <w:szCs w:val="18"/>
        </w:rPr>
      </w:pPr>
      <w:r w:rsidRPr="00314E58">
        <w:rPr>
          <w:sz w:val="18"/>
          <w:szCs w:val="18"/>
        </w:rPr>
        <w:t xml:space="preserve">Příkaz k zápisu změny zástavního práva může podat osoba uvedená v odstavci </w:t>
      </w:r>
      <w:proofErr w:type="gramStart"/>
      <w:r w:rsidR="006A6D31">
        <w:fldChar w:fldCharType="begin"/>
      </w:r>
      <w:r w:rsidR="00E23DD3">
        <w:instrText xml:space="preserve"> REF _Ref209500719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11.2.1</w:t>
      </w:r>
      <w:r w:rsidR="006A6D31">
        <w:fldChar w:fldCharType="end"/>
      </w:r>
      <w:proofErr w:type="gramEnd"/>
      <w:r w:rsidRPr="00314E58">
        <w:rPr>
          <w:sz w:val="18"/>
          <w:szCs w:val="18"/>
        </w:rPr>
        <w:t xml:space="preserve"> nebo jiná osoba k tomu oprávněná na základě právních předpisů a m</w:t>
      </w:r>
      <w:r w:rsidRPr="00C70F8A">
        <w:rPr>
          <w:sz w:val="18"/>
          <w:szCs w:val="18"/>
        </w:rPr>
        <w:t xml:space="preserve">usí jej doložit originálem nebo úředně ověřenou kopii dokladů, který osvědčí prováděné změny. Pro náležitosti příkazu se obdobně použije ustanovení odstavce </w:t>
      </w:r>
      <w:proofErr w:type="gramStart"/>
      <w:r w:rsidR="006A6D31">
        <w:fldChar w:fldCharType="begin"/>
      </w:r>
      <w:r w:rsidR="00E23DD3">
        <w:instrText xml:space="preserve"> REF _Ref209510354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11.2.2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>.</w:t>
      </w:r>
      <w:r w:rsidRPr="00E51D66"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 xml:space="preserve">Příkaz k zápisu změny </w:t>
      </w:r>
      <w:r>
        <w:rPr>
          <w:sz w:val="18"/>
          <w:szCs w:val="18"/>
        </w:rPr>
        <w:t xml:space="preserve">zákonného </w:t>
      </w:r>
      <w:r w:rsidRPr="00C70F8A">
        <w:rPr>
          <w:sz w:val="18"/>
          <w:szCs w:val="18"/>
        </w:rPr>
        <w:t>zástavní</w:t>
      </w:r>
      <w:r>
        <w:rPr>
          <w:sz w:val="18"/>
          <w:szCs w:val="18"/>
        </w:rPr>
        <w:t>ho</w:t>
      </w:r>
      <w:r w:rsidRPr="00C70F8A">
        <w:rPr>
          <w:sz w:val="18"/>
          <w:szCs w:val="18"/>
        </w:rPr>
        <w:t xml:space="preserve"> práva</w:t>
      </w:r>
      <w:r>
        <w:rPr>
          <w:sz w:val="18"/>
          <w:szCs w:val="18"/>
        </w:rPr>
        <w:t xml:space="preserve"> v případě účtu zákazníků podává majitel takového účtu. 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25" w:hanging="425"/>
        <w:jc w:val="both"/>
        <w:textAlignment w:val="auto"/>
        <w:rPr>
          <w:b/>
          <w:sz w:val="18"/>
          <w:szCs w:val="18"/>
        </w:rPr>
      </w:pPr>
      <w:r w:rsidRPr="00C70F8A">
        <w:rPr>
          <w:b/>
          <w:sz w:val="18"/>
          <w:szCs w:val="18"/>
        </w:rPr>
        <w:t>Zánik zástavního práva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lastRenderedPageBreak/>
        <w:t>Zástavní právo zaniká zápisem zániku zástavního práva v evidenci Banky nebo v navazující evidenci.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Příkaz k zápis</w:t>
      </w:r>
      <w:r w:rsidR="00FF6223">
        <w:rPr>
          <w:sz w:val="18"/>
          <w:szCs w:val="18"/>
        </w:rPr>
        <w:t>u</w:t>
      </w:r>
      <w:r w:rsidRPr="00C70F8A">
        <w:rPr>
          <w:sz w:val="18"/>
          <w:szCs w:val="18"/>
        </w:rPr>
        <w:t xml:space="preserve"> zániku zástavního práva je oprávněna podat </w:t>
      </w:r>
    </w:p>
    <w:p w:rsidR="00077059" w:rsidRDefault="00B415B2" w:rsidP="00077059">
      <w:pPr>
        <w:numPr>
          <w:ilvl w:val="0"/>
          <w:numId w:val="37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osoba uvedená v odstavci </w:t>
      </w:r>
      <w:proofErr w:type="gramStart"/>
      <w:r w:rsidR="006A6D31">
        <w:fldChar w:fldCharType="begin"/>
      </w:r>
      <w:r w:rsidR="00E23DD3">
        <w:instrText xml:space="preserve"> REF _Ref209500715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11.1.1</w:t>
      </w:r>
      <w:r w:rsidR="006A6D31">
        <w:fldChar w:fldCharType="end"/>
      </w:r>
      <w:proofErr w:type="gramEnd"/>
      <w:r>
        <w:rPr>
          <w:sz w:val="18"/>
          <w:szCs w:val="18"/>
        </w:rPr>
        <w:t xml:space="preserve"> v případě účtu vlastníka;</w:t>
      </w:r>
    </w:p>
    <w:p w:rsidR="00077059" w:rsidRDefault="00B415B2" w:rsidP="00077059">
      <w:pPr>
        <w:numPr>
          <w:ilvl w:val="0"/>
          <w:numId w:val="37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jiná osoba, oprávněná na základě právní</w:t>
      </w:r>
      <w:r>
        <w:rPr>
          <w:sz w:val="18"/>
          <w:szCs w:val="18"/>
        </w:rPr>
        <w:t>ch</w:t>
      </w:r>
      <w:r w:rsidRPr="00C70F8A">
        <w:rPr>
          <w:sz w:val="18"/>
          <w:szCs w:val="18"/>
        </w:rPr>
        <w:t xml:space="preserve"> předpisů; </w:t>
      </w:r>
    </w:p>
    <w:p w:rsidR="00077059" w:rsidRDefault="00B415B2" w:rsidP="00077059">
      <w:pPr>
        <w:spacing w:after="120"/>
        <w:ind w:left="426"/>
        <w:jc w:val="both"/>
        <w:rPr>
          <w:sz w:val="18"/>
          <w:szCs w:val="18"/>
        </w:rPr>
      </w:pPr>
      <w:r w:rsidRPr="00C70F8A">
        <w:rPr>
          <w:sz w:val="18"/>
          <w:szCs w:val="18"/>
        </w:rPr>
        <w:t>s tím, že k tomuto příkazu je třeba přiložit doklad prokazující, že zajištěná pohledávka zanikla, nebo prokazující jiný důvod zániku zástavního práva; doklad se nepřikládá, dává-li příkaz k zápisu zániku zástavního práva zástavní věřitel</w:t>
      </w:r>
      <w:r>
        <w:rPr>
          <w:sz w:val="18"/>
          <w:szCs w:val="18"/>
        </w:rPr>
        <w:t xml:space="preserve"> nebo </w:t>
      </w:r>
      <w:r w:rsidR="00DB557C">
        <w:rPr>
          <w:sz w:val="18"/>
          <w:szCs w:val="18"/>
        </w:rPr>
        <w:t>vlastník</w:t>
      </w:r>
      <w:r w:rsidR="00DB557C" w:rsidRPr="000D51B0">
        <w:rPr>
          <w:sz w:val="18"/>
          <w:szCs w:val="18"/>
        </w:rPr>
        <w:t xml:space="preserve"> </w:t>
      </w:r>
      <w:r w:rsidR="00DB557C">
        <w:rPr>
          <w:sz w:val="18"/>
          <w:szCs w:val="18"/>
        </w:rPr>
        <w:t xml:space="preserve">majetkového </w:t>
      </w:r>
      <w:r w:rsidR="0066402C" w:rsidRPr="000D51B0">
        <w:rPr>
          <w:sz w:val="18"/>
          <w:szCs w:val="18"/>
        </w:rPr>
        <w:t>účtu</w:t>
      </w:r>
      <w:r>
        <w:rPr>
          <w:sz w:val="18"/>
          <w:szCs w:val="18"/>
        </w:rPr>
        <w:t>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Banka je oprávněn</w:t>
      </w:r>
      <w:r>
        <w:rPr>
          <w:sz w:val="18"/>
          <w:szCs w:val="18"/>
        </w:rPr>
        <w:t>a</w:t>
      </w:r>
      <w:r w:rsidRPr="00C70F8A">
        <w:rPr>
          <w:sz w:val="18"/>
          <w:szCs w:val="18"/>
        </w:rPr>
        <w:t xml:space="preserve"> požadovat, aby příkaz k zápis</w:t>
      </w:r>
      <w:r>
        <w:rPr>
          <w:sz w:val="18"/>
          <w:szCs w:val="18"/>
        </w:rPr>
        <w:t>u</w:t>
      </w:r>
      <w:r w:rsidRPr="00C70F8A">
        <w:rPr>
          <w:sz w:val="18"/>
          <w:szCs w:val="18"/>
        </w:rPr>
        <w:t xml:space="preserve"> zániku zástavního práva obsahoval minimálně</w:t>
      </w:r>
      <w:r>
        <w:rPr>
          <w:sz w:val="18"/>
          <w:szCs w:val="18"/>
        </w:rPr>
        <w:t>:</w:t>
      </w:r>
    </w:p>
    <w:p w:rsidR="00077059" w:rsidRPr="00E86A45" w:rsidRDefault="0066402C" w:rsidP="00077059">
      <w:pPr>
        <w:numPr>
          <w:ilvl w:val="0"/>
          <w:numId w:val="3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E86A45">
        <w:rPr>
          <w:sz w:val="18"/>
          <w:szCs w:val="18"/>
        </w:rPr>
        <w:t>identifikační číslo zástavy;</w:t>
      </w:r>
    </w:p>
    <w:p w:rsidR="00077059" w:rsidRDefault="00B415B2" w:rsidP="00077059">
      <w:pPr>
        <w:numPr>
          <w:ilvl w:val="0"/>
          <w:numId w:val="3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identifikace zástavního věřitele, zástavce a zástavního dlužníka, je-li to osoba odlišní od zástavce, a to v rozsahu údajů dle odstavce </w:t>
      </w:r>
      <w:proofErr w:type="gramStart"/>
      <w:r w:rsidR="006A6D31">
        <w:fldChar w:fldCharType="begin"/>
      </w:r>
      <w:r w:rsidR="00E23DD3">
        <w:instrText xml:space="preserve"> REF _Ref209435251 \r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3.2</w:t>
      </w:r>
      <w:r w:rsidR="006A6D31">
        <w:fldChar w:fldCharType="end"/>
      </w:r>
      <w:proofErr w:type="gramEnd"/>
      <w:r w:rsidRPr="00C70F8A">
        <w:rPr>
          <w:sz w:val="18"/>
          <w:szCs w:val="18"/>
        </w:rPr>
        <w:t xml:space="preserve"> písm. </w:t>
      </w:r>
      <w:fldSimple w:instr=" REF _Ref209435155 \n \h  \* MERGEFORMAT ">
        <w:r w:rsidR="0041431D" w:rsidRPr="0041431D">
          <w:rPr>
            <w:sz w:val="18"/>
            <w:szCs w:val="18"/>
          </w:rPr>
          <w:t>(c)</w:t>
        </w:r>
      </w:fldSimple>
      <w:r w:rsidRPr="00C70F8A">
        <w:rPr>
          <w:sz w:val="18"/>
          <w:szCs w:val="18"/>
        </w:rPr>
        <w:t>;</w:t>
      </w:r>
    </w:p>
    <w:p w:rsidR="00077059" w:rsidRPr="00E86A45" w:rsidRDefault="0066402C" w:rsidP="00077059">
      <w:pPr>
        <w:numPr>
          <w:ilvl w:val="0"/>
          <w:numId w:val="3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E86A45">
        <w:rPr>
          <w:sz w:val="18"/>
          <w:szCs w:val="18"/>
        </w:rPr>
        <w:t>číslo majetkového účtu, na kterém jsou zastavené CP evidovány</w:t>
      </w:r>
      <w:r w:rsidR="00B415B2" w:rsidRPr="00E86A45">
        <w:rPr>
          <w:sz w:val="18"/>
          <w:szCs w:val="18"/>
        </w:rPr>
        <w:t>.</w:t>
      </w:r>
    </w:p>
    <w:p w:rsidR="00077059" w:rsidRDefault="00B415B2" w:rsidP="00077059">
      <w:pPr>
        <w:spacing w:after="120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 další náležitosti příkazu se obdobně použije odstavec </w:t>
      </w:r>
      <w:proofErr w:type="gramStart"/>
      <w:r w:rsidR="006A6D31">
        <w:fldChar w:fldCharType="begin"/>
      </w:r>
      <w:r w:rsidR="00E23DD3">
        <w:instrText xml:space="preserve"> REF _Ref209579849 \n \h  \* MERGEFORMAT </w:instrText>
      </w:r>
      <w:r w:rsidR="006A6D31">
        <w:fldChar w:fldCharType="separate"/>
      </w:r>
      <w:r w:rsidR="0041431D" w:rsidRPr="0041431D">
        <w:rPr>
          <w:sz w:val="18"/>
          <w:szCs w:val="18"/>
        </w:rPr>
        <w:t>11.1.3</w:t>
      </w:r>
      <w:r w:rsidR="006A6D31">
        <w:fldChar w:fldCharType="end"/>
      </w:r>
      <w:proofErr w:type="gramEnd"/>
      <w:r>
        <w:rPr>
          <w:sz w:val="18"/>
          <w:szCs w:val="18"/>
        </w:rPr>
        <w:t>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Banka provede zápis zániku zástavního práva i bez příkazu v případě, že dojde k zániku zástavního práva v důsledku </w:t>
      </w:r>
    </w:p>
    <w:p w:rsidR="00077059" w:rsidRPr="00E86A45" w:rsidRDefault="0066402C" w:rsidP="00077059">
      <w:pPr>
        <w:numPr>
          <w:ilvl w:val="0"/>
          <w:numId w:val="38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E86A45">
        <w:rPr>
          <w:sz w:val="18"/>
          <w:szCs w:val="18"/>
        </w:rPr>
        <w:t>uplynutí doby, na níž bylo zástavní právo zřízeno</w:t>
      </w:r>
      <w:r w:rsidR="00B415B2" w:rsidRPr="00E86A45">
        <w:rPr>
          <w:sz w:val="18"/>
          <w:szCs w:val="18"/>
        </w:rPr>
        <w:t>;</w:t>
      </w:r>
    </w:p>
    <w:p w:rsidR="00077059" w:rsidRDefault="00B415B2" w:rsidP="00077059">
      <w:pPr>
        <w:numPr>
          <w:ilvl w:val="0"/>
          <w:numId w:val="38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prodeje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v rámci konkursu</w:t>
      </w:r>
      <w:r>
        <w:rPr>
          <w:sz w:val="18"/>
          <w:szCs w:val="18"/>
        </w:rPr>
        <w:t xml:space="preserve">, případně v rámci jiné fáze </w:t>
      </w:r>
      <w:proofErr w:type="spellStart"/>
      <w:r>
        <w:rPr>
          <w:sz w:val="18"/>
          <w:szCs w:val="18"/>
        </w:rPr>
        <w:t>insolvenčního</w:t>
      </w:r>
      <w:proofErr w:type="spellEnd"/>
      <w:r>
        <w:rPr>
          <w:sz w:val="18"/>
          <w:szCs w:val="18"/>
        </w:rPr>
        <w:t xml:space="preserve"> řízení</w:t>
      </w:r>
      <w:r w:rsidRPr="00C70F8A">
        <w:rPr>
          <w:sz w:val="18"/>
          <w:szCs w:val="18"/>
        </w:rPr>
        <w:t>; nebo</w:t>
      </w:r>
    </w:p>
    <w:p w:rsidR="00077059" w:rsidRDefault="00B415B2" w:rsidP="00077059">
      <w:pPr>
        <w:numPr>
          <w:ilvl w:val="0"/>
          <w:numId w:val="38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prodeje </w:t>
      </w:r>
      <w:r>
        <w:rPr>
          <w:sz w:val="18"/>
          <w:szCs w:val="18"/>
        </w:rPr>
        <w:t>CP</w:t>
      </w:r>
      <w:r w:rsidRPr="00C70F8A">
        <w:rPr>
          <w:sz w:val="18"/>
          <w:szCs w:val="18"/>
        </w:rPr>
        <w:t xml:space="preserve"> v rámci realizace zástavního práva.</w:t>
      </w:r>
    </w:p>
    <w:p w:rsidR="00077059" w:rsidRDefault="00F31F6A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25" w:hanging="425"/>
        <w:jc w:val="both"/>
        <w:textAlignment w:val="auto"/>
        <w:rPr>
          <w:b/>
          <w:sz w:val="18"/>
          <w:szCs w:val="18"/>
        </w:rPr>
      </w:pPr>
      <w:r>
        <w:rPr>
          <w:b/>
          <w:sz w:val="18"/>
          <w:szCs w:val="18"/>
        </w:rPr>
        <w:t>Oprava chyb v evidenci</w:t>
      </w:r>
    </w:p>
    <w:p w:rsidR="00077059" w:rsidRDefault="00F31F6A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F31F6A">
        <w:rPr>
          <w:sz w:val="18"/>
          <w:szCs w:val="18"/>
        </w:rPr>
        <w:t xml:space="preserve">Banka provede opravu chyb v Evidenci </w:t>
      </w:r>
    </w:p>
    <w:p w:rsidR="00077059" w:rsidRDefault="00F31F6A" w:rsidP="00077059">
      <w:pPr>
        <w:numPr>
          <w:ilvl w:val="0"/>
          <w:numId w:val="4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 w:rsidRPr="00F31F6A">
        <w:rPr>
          <w:sz w:val="18"/>
          <w:szCs w:val="18"/>
        </w:rPr>
        <w:t xml:space="preserve">na základě námitky majitele </w:t>
      </w:r>
      <w:r w:rsidR="0019351F">
        <w:rPr>
          <w:sz w:val="18"/>
          <w:szCs w:val="18"/>
        </w:rPr>
        <w:t xml:space="preserve">majetkového </w:t>
      </w:r>
      <w:r w:rsidRPr="00F31F6A">
        <w:rPr>
          <w:sz w:val="18"/>
          <w:szCs w:val="18"/>
        </w:rPr>
        <w:t>účtu, emitenta, případně na základě námitky dalších osob v souladu s platnými právními předpisy, kterou uzná jako oprávněnou</w:t>
      </w:r>
      <w:r>
        <w:rPr>
          <w:sz w:val="18"/>
          <w:szCs w:val="18"/>
        </w:rPr>
        <w:t>;</w:t>
      </w:r>
    </w:p>
    <w:p w:rsidR="00077059" w:rsidRDefault="00F31F6A" w:rsidP="00077059">
      <w:pPr>
        <w:numPr>
          <w:ilvl w:val="0"/>
          <w:numId w:val="4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na základě pravomocného rozhodnutí soudu nebo jiného orgánu;</w:t>
      </w:r>
    </w:p>
    <w:p w:rsidR="00077059" w:rsidRDefault="00F31F6A" w:rsidP="00077059">
      <w:pPr>
        <w:numPr>
          <w:ilvl w:val="0"/>
          <w:numId w:val="46"/>
        </w:numPr>
        <w:overflowPunct/>
        <w:autoSpaceDE/>
        <w:autoSpaceDN/>
        <w:adjustRightInd/>
        <w:spacing w:after="120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z vlastního podnětu; nebo</w:t>
      </w:r>
    </w:p>
    <w:p w:rsidR="00077059" w:rsidRDefault="00F31F6A" w:rsidP="00077059">
      <w:pPr>
        <w:numPr>
          <w:ilvl w:val="0"/>
          <w:numId w:val="46"/>
        </w:numPr>
        <w:overflowPunct/>
        <w:autoSpaceDE/>
        <w:autoSpaceDN/>
        <w:adjustRightInd/>
        <w:spacing w:after="240"/>
        <w:ind w:left="782" w:hanging="357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na základě opravy provedené v evidenci investičních nástrojů, kterou vede jiná osoba, pokud o opravu chyby byla touto osobou požádána a požadavek uzná jako oprávněný.</w:t>
      </w:r>
      <w:r w:rsidRPr="00F31F6A">
        <w:rPr>
          <w:sz w:val="18"/>
          <w:szCs w:val="18"/>
        </w:rPr>
        <w:t xml:space="preserve"> </w:t>
      </w:r>
    </w:p>
    <w:p w:rsidR="00077059" w:rsidRDefault="00F31F6A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 w:rsidRPr="0019351F">
        <w:rPr>
          <w:sz w:val="18"/>
          <w:szCs w:val="18"/>
        </w:rPr>
        <w:t xml:space="preserve">Banka </w:t>
      </w:r>
      <w:r w:rsidR="0019351F" w:rsidRPr="0019351F">
        <w:rPr>
          <w:sz w:val="18"/>
          <w:szCs w:val="18"/>
        </w:rPr>
        <w:t>provede opravu chyby v Evidenci ke dni</w:t>
      </w:r>
      <w:r w:rsidR="0019351F" w:rsidRPr="00E86A45">
        <w:rPr>
          <w:sz w:val="18"/>
          <w:szCs w:val="18"/>
        </w:rPr>
        <w:t xml:space="preserve">, </w:t>
      </w:r>
      <w:r w:rsidR="0066402C" w:rsidRPr="00E86A45">
        <w:rPr>
          <w:sz w:val="18"/>
          <w:szCs w:val="18"/>
        </w:rPr>
        <w:t>ke kterému chyba v Evidenci vznikla</w:t>
      </w:r>
      <w:r w:rsidR="0019351F" w:rsidRPr="0019351F">
        <w:rPr>
          <w:sz w:val="18"/>
          <w:szCs w:val="18"/>
        </w:rPr>
        <w:t>, pokud ze zákona nebo rozhodnutí soudu či jiného orgánu nevyplývá něco jiného. Nelze-li tento den určit, provede se oprava chyby ke dni, ke kterému byla chyb</w:t>
      </w:r>
      <w:r w:rsidR="0019351F">
        <w:rPr>
          <w:sz w:val="18"/>
          <w:szCs w:val="18"/>
        </w:rPr>
        <w:t>a</w:t>
      </w:r>
      <w:r w:rsidR="0019351F" w:rsidRPr="0019351F">
        <w:rPr>
          <w:sz w:val="18"/>
          <w:szCs w:val="18"/>
        </w:rPr>
        <w:t xml:space="preserve"> zjištěna.</w:t>
      </w:r>
    </w:p>
    <w:p w:rsidR="00077059" w:rsidRDefault="0019351F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Banka zašle osobě, na jejímž </w:t>
      </w:r>
      <w:r w:rsidR="001C0B61">
        <w:rPr>
          <w:sz w:val="18"/>
          <w:szCs w:val="18"/>
        </w:rPr>
        <w:t xml:space="preserve">majetkovém </w:t>
      </w:r>
      <w:r>
        <w:rPr>
          <w:sz w:val="18"/>
          <w:szCs w:val="18"/>
        </w:rPr>
        <w:t xml:space="preserve">účtu opravila chybu, výpis z jejího </w:t>
      </w:r>
      <w:r w:rsidR="001C0B61">
        <w:rPr>
          <w:sz w:val="18"/>
          <w:szCs w:val="18"/>
        </w:rPr>
        <w:t xml:space="preserve">majetkového </w:t>
      </w:r>
      <w:r>
        <w:rPr>
          <w:sz w:val="18"/>
          <w:szCs w:val="18"/>
        </w:rPr>
        <w:t xml:space="preserve">účtu s odůvodněním provedené změny, a to neprodleně po opravení chyby. 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25" w:hanging="425"/>
        <w:jc w:val="both"/>
        <w:textAlignment w:val="auto"/>
        <w:rPr>
          <w:b/>
          <w:sz w:val="18"/>
          <w:szCs w:val="18"/>
        </w:rPr>
      </w:pPr>
      <w:r>
        <w:rPr>
          <w:b/>
          <w:sz w:val="18"/>
          <w:szCs w:val="18"/>
        </w:rPr>
        <w:t>Určená provozovna pro podávání příkazů a časový rozvrh provozního dne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00" w:beforeAutospacing="1" w:after="100" w:afterAutospacing="1"/>
        <w:ind w:left="426" w:hanging="426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Banka přijímá příkazy k zápisu změn do </w:t>
      </w:r>
      <w:r w:rsidR="006D4D74">
        <w:rPr>
          <w:sz w:val="18"/>
          <w:szCs w:val="18"/>
        </w:rPr>
        <w:t>E</w:t>
      </w:r>
      <w:r>
        <w:rPr>
          <w:sz w:val="18"/>
          <w:szCs w:val="18"/>
        </w:rPr>
        <w:t>vidence v určené provozovně Banky, a to</w:t>
      </w:r>
    </w:p>
    <w:p w:rsidR="00B415B2" w:rsidRPr="00256EB9" w:rsidRDefault="00B415B2" w:rsidP="00256EB9">
      <w:pPr>
        <w:spacing w:before="100" w:beforeAutospacing="1"/>
        <w:ind w:left="426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Komerční banka, a.s.</w:t>
      </w:r>
    </w:p>
    <w:p w:rsidR="00B415B2" w:rsidRPr="00256EB9" w:rsidRDefault="00B415B2" w:rsidP="00256EB9">
      <w:pPr>
        <w:ind w:left="426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Útvar Služby emitentům</w:t>
      </w:r>
    </w:p>
    <w:p w:rsidR="00B415B2" w:rsidRPr="00256EB9" w:rsidRDefault="00B415B2" w:rsidP="00256EB9">
      <w:pPr>
        <w:ind w:left="426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Václavské náměstí 42</w:t>
      </w:r>
    </w:p>
    <w:p w:rsidR="00B415B2" w:rsidRPr="00256EB9" w:rsidRDefault="00B415B2" w:rsidP="00256EB9">
      <w:pPr>
        <w:spacing w:after="100" w:afterAutospacing="1"/>
        <w:ind w:left="426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114 07 Praha 1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100" w:beforeAutospacing="1" w:after="120"/>
        <w:ind w:left="425" w:hanging="425"/>
        <w:jc w:val="both"/>
        <w:textAlignment w:val="auto"/>
        <w:rPr>
          <w:sz w:val="18"/>
          <w:szCs w:val="18"/>
        </w:rPr>
      </w:pPr>
      <w:r w:rsidRPr="0038406B">
        <w:rPr>
          <w:sz w:val="18"/>
          <w:szCs w:val="18"/>
        </w:rPr>
        <w:t>Příkazy lze zaslat poštou nebo podat osobně v provozních hodinách určené provozovny, a to pondělí – pátek, od 9,00 do 16,00 hod, s výjimkou státních svátků a jiných svátků ve smyslu příslušných právních předpisů. Závěrkou</w:t>
      </w:r>
      <w:r w:rsidR="00D60867">
        <w:rPr>
          <w:sz w:val="18"/>
          <w:szCs w:val="18"/>
        </w:rPr>
        <w:t xml:space="preserve"> provozního dne je 17,00 hod.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6"/>
        <w:jc w:val="both"/>
        <w:textAlignment w:val="auto"/>
        <w:rPr>
          <w:sz w:val="18"/>
          <w:szCs w:val="18"/>
        </w:rPr>
      </w:pPr>
      <w:r w:rsidRPr="00350FCE">
        <w:rPr>
          <w:sz w:val="18"/>
          <w:szCs w:val="18"/>
        </w:rPr>
        <w:t>V případě Oprávněných osob, které jsou zároveň klientem Banky, lze příkazy podat i prostřednictvím svého bankovního poradce.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25" w:hanging="425"/>
        <w:jc w:val="both"/>
        <w:textAlignment w:val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Doručování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Zásilky doručované Bankou v souvislosti s vedením samostatné evidence prostřednictvím 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</w:tabs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držitele poštovní licence </w:t>
      </w:r>
      <w:r w:rsidRPr="00F51D57">
        <w:rPr>
          <w:sz w:val="18"/>
          <w:szCs w:val="18"/>
        </w:rPr>
        <w:t xml:space="preserve">se považují za doručené </w:t>
      </w:r>
      <w:r>
        <w:rPr>
          <w:sz w:val="18"/>
          <w:szCs w:val="18"/>
        </w:rPr>
        <w:t>pátý (</w:t>
      </w:r>
      <w:r w:rsidRPr="00F51D57">
        <w:rPr>
          <w:sz w:val="18"/>
          <w:szCs w:val="18"/>
        </w:rPr>
        <w:t>5.</w:t>
      </w:r>
      <w:r>
        <w:rPr>
          <w:sz w:val="18"/>
          <w:szCs w:val="18"/>
        </w:rPr>
        <w:t>)</w:t>
      </w:r>
      <w:r w:rsidRPr="00F51D57">
        <w:rPr>
          <w:sz w:val="18"/>
          <w:szCs w:val="18"/>
        </w:rPr>
        <w:t xml:space="preserve"> pracovní den po jejich odes</w:t>
      </w:r>
      <w:r>
        <w:rPr>
          <w:sz w:val="18"/>
          <w:szCs w:val="18"/>
        </w:rPr>
        <w:t>lání na území České republiky nebo osmý (</w:t>
      </w:r>
      <w:r w:rsidRPr="00F51D57">
        <w:rPr>
          <w:sz w:val="18"/>
          <w:szCs w:val="18"/>
        </w:rPr>
        <w:t>8.</w:t>
      </w:r>
      <w:r>
        <w:rPr>
          <w:sz w:val="18"/>
          <w:szCs w:val="18"/>
        </w:rPr>
        <w:t>)</w:t>
      </w:r>
      <w:r w:rsidRPr="00F51D57">
        <w:rPr>
          <w:sz w:val="18"/>
          <w:szCs w:val="18"/>
        </w:rPr>
        <w:t xml:space="preserve"> pracovní den po jejich odeslání na adresu do zahraničí, bez ohledu na to, jestli adresát </w:t>
      </w:r>
      <w:r>
        <w:rPr>
          <w:sz w:val="18"/>
          <w:szCs w:val="18"/>
        </w:rPr>
        <w:t>zásilku</w:t>
      </w:r>
      <w:r w:rsidRPr="00F51D57">
        <w:rPr>
          <w:sz w:val="18"/>
          <w:szCs w:val="18"/>
        </w:rPr>
        <w:t xml:space="preserve"> převza</w:t>
      </w:r>
      <w:r>
        <w:rPr>
          <w:sz w:val="18"/>
          <w:szCs w:val="18"/>
        </w:rPr>
        <w:t>l či nikoliv. V případě, že se z</w:t>
      </w:r>
      <w:r w:rsidRPr="00F51D57">
        <w:rPr>
          <w:sz w:val="18"/>
          <w:szCs w:val="18"/>
        </w:rPr>
        <w:t>ásilka vrátí jako nedoručitelná, považuje se z</w:t>
      </w:r>
      <w:r>
        <w:rPr>
          <w:sz w:val="18"/>
          <w:szCs w:val="18"/>
        </w:rPr>
        <w:t>a okamžik doručení den vrácení z</w:t>
      </w:r>
      <w:r w:rsidRPr="00F51D57">
        <w:rPr>
          <w:sz w:val="18"/>
          <w:szCs w:val="18"/>
        </w:rPr>
        <w:t>ásilky odesílateli, pokud tato skutečnost nastala dříve než ve lhů</w:t>
      </w:r>
      <w:r>
        <w:rPr>
          <w:sz w:val="18"/>
          <w:szCs w:val="18"/>
        </w:rPr>
        <w:t>tách uvedených v předchozí větě;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</w:tabs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elektronické pošty</w:t>
      </w:r>
      <w:r w:rsidRPr="0046676A">
        <w:rPr>
          <w:sz w:val="18"/>
          <w:szCs w:val="18"/>
        </w:rPr>
        <w:t xml:space="preserve"> </w:t>
      </w:r>
      <w:r>
        <w:rPr>
          <w:sz w:val="18"/>
          <w:szCs w:val="18"/>
        </w:rPr>
        <w:t>se považují</w:t>
      </w:r>
      <w:r w:rsidRPr="00C70F8A">
        <w:rPr>
          <w:sz w:val="18"/>
          <w:szCs w:val="18"/>
        </w:rPr>
        <w:t xml:space="preserve"> za</w:t>
      </w:r>
      <w:r>
        <w:rPr>
          <w:sz w:val="18"/>
          <w:szCs w:val="18"/>
        </w:rPr>
        <w:t xml:space="preserve"> doručené okamžikem jejich</w:t>
      </w:r>
      <w:r w:rsidRPr="00C70F8A">
        <w:rPr>
          <w:sz w:val="18"/>
          <w:szCs w:val="18"/>
        </w:rPr>
        <w:t xml:space="preserve"> odeslání, </w:t>
      </w:r>
      <w:r>
        <w:rPr>
          <w:sz w:val="18"/>
          <w:szCs w:val="18"/>
        </w:rPr>
        <w:t>a to i za předpokladu, že nebudou doručeny</w:t>
      </w:r>
      <w:r w:rsidRPr="00C70F8A">
        <w:rPr>
          <w:sz w:val="18"/>
          <w:szCs w:val="18"/>
        </w:rPr>
        <w:t xml:space="preserve"> z důvodu </w:t>
      </w:r>
      <w:r>
        <w:rPr>
          <w:sz w:val="18"/>
          <w:szCs w:val="18"/>
        </w:rPr>
        <w:t xml:space="preserve">chyby, kterou nezpůsobila Banka s tím, že </w:t>
      </w:r>
      <w:r>
        <w:rPr>
          <w:sz w:val="18"/>
          <w:szCs w:val="18"/>
        </w:rPr>
        <w:tab/>
      </w:r>
    </w:p>
    <w:p w:rsidR="00077059" w:rsidRDefault="00B415B2" w:rsidP="00077059">
      <w:pPr>
        <w:tabs>
          <w:tab w:val="left" w:pos="1134"/>
        </w:tabs>
        <w:spacing w:after="120"/>
        <w:ind w:left="1134" w:hanging="425"/>
        <w:jc w:val="both"/>
        <w:rPr>
          <w:sz w:val="18"/>
          <w:szCs w:val="18"/>
        </w:rPr>
      </w:pPr>
      <w:r>
        <w:rPr>
          <w:sz w:val="18"/>
          <w:szCs w:val="18"/>
        </w:rPr>
        <w:t>(i)</w:t>
      </w:r>
      <w:r>
        <w:rPr>
          <w:sz w:val="18"/>
          <w:szCs w:val="18"/>
        </w:rPr>
        <w:tab/>
      </w:r>
      <w:r w:rsidRPr="00C70F8A">
        <w:rPr>
          <w:sz w:val="18"/>
          <w:szCs w:val="18"/>
        </w:rPr>
        <w:t xml:space="preserve">obsah a přílohy elektronické pošty </w:t>
      </w:r>
      <w:r>
        <w:rPr>
          <w:sz w:val="18"/>
          <w:szCs w:val="18"/>
        </w:rPr>
        <w:t xml:space="preserve">nebudou </w:t>
      </w:r>
      <w:proofErr w:type="spellStart"/>
      <w:r w:rsidRPr="00C70F8A">
        <w:rPr>
          <w:sz w:val="18"/>
          <w:szCs w:val="18"/>
        </w:rPr>
        <w:t>kryptovány</w:t>
      </w:r>
      <w:proofErr w:type="spellEnd"/>
      <w:r w:rsidRPr="00C70F8A">
        <w:rPr>
          <w:sz w:val="18"/>
          <w:szCs w:val="18"/>
        </w:rPr>
        <w:t>, ani jinak zabezpečeny a z tohoto důvodu mohou být zachyceny, poškozeny, ztraceny, zničeny, přijaty nekompletní nebo se zpožděním. Banka nenese žádnou odpovědnost za chyby, zásahy či jakékoliv jiné zneužití obsahu nebo příloh elektronické pošty vzniklé v průběhu nebo jako důsledek jejího přenosu. V případě pochybností o pravosti nebo úplnosti obsahu nebo přílohy obdržené elektronické pošty je příjemce povinen bez odkladu kontaktovat Banku;</w:t>
      </w:r>
      <w:r>
        <w:rPr>
          <w:sz w:val="18"/>
          <w:szCs w:val="18"/>
        </w:rPr>
        <w:t xml:space="preserve"> a </w:t>
      </w:r>
    </w:p>
    <w:p w:rsidR="00077059" w:rsidRDefault="00B415B2" w:rsidP="00077059">
      <w:pPr>
        <w:tabs>
          <w:tab w:val="left" w:pos="1134"/>
        </w:tabs>
        <w:spacing w:after="120"/>
        <w:ind w:left="1134" w:hanging="425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ii</w:t>
      </w:r>
      <w:proofErr w:type="spellEnd"/>
      <w:r>
        <w:rPr>
          <w:sz w:val="18"/>
          <w:szCs w:val="18"/>
        </w:rPr>
        <w:t>)</w:t>
      </w:r>
      <w:r>
        <w:rPr>
          <w:sz w:val="18"/>
          <w:szCs w:val="18"/>
        </w:rPr>
        <w:tab/>
        <w:t xml:space="preserve">Banka </w:t>
      </w:r>
      <w:r w:rsidRPr="00C70F8A">
        <w:rPr>
          <w:sz w:val="18"/>
          <w:szCs w:val="18"/>
        </w:rPr>
        <w:t>neodpovídá</w:t>
      </w:r>
      <w:r>
        <w:rPr>
          <w:sz w:val="18"/>
          <w:szCs w:val="18"/>
        </w:rPr>
        <w:t xml:space="preserve"> </w:t>
      </w:r>
      <w:r w:rsidRPr="00C70F8A">
        <w:rPr>
          <w:sz w:val="18"/>
          <w:szCs w:val="18"/>
        </w:rPr>
        <w:t>za žádnou škodu vzniklou v důsledku počítačových virů či jiných programů způsobilých narušit bezpečnost počítačů přenesených prostřednictvím elektronické pošty</w:t>
      </w:r>
      <w:r>
        <w:rPr>
          <w:sz w:val="18"/>
          <w:szCs w:val="18"/>
        </w:rPr>
        <w:t>.</w:t>
      </w:r>
      <w:r w:rsidRPr="00C70F8A">
        <w:rPr>
          <w:sz w:val="18"/>
          <w:szCs w:val="18"/>
        </w:rPr>
        <w:t xml:space="preserve"> 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426"/>
        </w:tabs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kurýrní služby se považují za doručené okamžikem jejich předání nebo okamžikem odmítnutí jejich převzetí; a </w:t>
      </w:r>
    </w:p>
    <w:p w:rsidR="00077059" w:rsidRDefault="00B415B2" w:rsidP="00077059">
      <w:pPr>
        <w:numPr>
          <w:ilvl w:val="7"/>
          <w:numId w:val="26"/>
        </w:numPr>
        <w:tabs>
          <w:tab w:val="clear" w:pos="5760"/>
          <w:tab w:val="num" w:pos="426"/>
        </w:tabs>
        <w:overflowPunct/>
        <w:autoSpaceDE/>
        <w:autoSpaceDN/>
        <w:adjustRightInd/>
        <w:spacing w:after="120"/>
        <w:ind w:left="709" w:hanging="283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>faxu se považují za doručené okamžikem potvrzení úspěšného odeslání generovaného přístrojem Banky.</w:t>
      </w:r>
    </w:p>
    <w:p w:rsidR="00077059" w:rsidRDefault="00B415B2" w:rsidP="00077059">
      <w:pPr>
        <w:numPr>
          <w:ilvl w:val="0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before="240" w:after="240"/>
        <w:ind w:left="425" w:hanging="425"/>
        <w:jc w:val="both"/>
        <w:textAlignment w:val="auto"/>
        <w:rPr>
          <w:b/>
          <w:sz w:val="18"/>
          <w:szCs w:val="18"/>
        </w:rPr>
      </w:pPr>
      <w:r>
        <w:rPr>
          <w:b/>
          <w:sz w:val="18"/>
          <w:szCs w:val="18"/>
        </w:rPr>
        <w:t>Společná ustanovení</w:t>
      </w:r>
    </w:p>
    <w:p w:rsidR="00077059" w:rsidRPr="00E86A45" w:rsidRDefault="0066402C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E86A45">
        <w:rPr>
          <w:sz w:val="18"/>
          <w:szCs w:val="18"/>
        </w:rPr>
        <w:t>Osoby, které se staly Vlastníky CP před dnem účinnosti těchto Pravidel, nepodávají příkaz ke zřízení majetkového účtu.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>Banka je oprávněná změnit tato Pravidla a určit datum účinnosti změny</w:t>
      </w:r>
      <w:r>
        <w:rPr>
          <w:sz w:val="18"/>
          <w:szCs w:val="18"/>
        </w:rPr>
        <w:t>.</w:t>
      </w:r>
      <w:r w:rsidR="00700D28">
        <w:rPr>
          <w:sz w:val="18"/>
          <w:szCs w:val="18"/>
        </w:rPr>
        <w:t xml:space="preserve"> </w:t>
      </w:r>
    </w:p>
    <w:p w:rsidR="00077059" w:rsidRDefault="00700D28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Banka je oprávněna ustanovení těchto Pravidel s ohledem na specifika </w:t>
      </w:r>
      <w:r w:rsidR="00FF6223">
        <w:rPr>
          <w:sz w:val="18"/>
          <w:szCs w:val="18"/>
        </w:rPr>
        <w:t>určitých</w:t>
      </w:r>
      <w:r>
        <w:rPr>
          <w:sz w:val="18"/>
          <w:szCs w:val="18"/>
        </w:rPr>
        <w:t xml:space="preserve"> CP </w:t>
      </w:r>
      <w:r w:rsidR="00FF6223">
        <w:rPr>
          <w:sz w:val="18"/>
          <w:szCs w:val="18"/>
        </w:rPr>
        <w:t xml:space="preserve">neaplikovat, případně </w:t>
      </w:r>
      <w:r>
        <w:rPr>
          <w:sz w:val="18"/>
          <w:szCs w:val="18"/>
        </w:rPr>
        <w:t>přiměřeně modifikovat.</w:t>
      </w:r>
    </w:p>
    <w:p w:rsidR="00077059" w:rsidRDefault="00B415B2" w:rsidP="00077059">
      <w:pPr>
        <w:numPr>
          <w:ilvl w:val="1"/>
          <w:numId w:val="34"/>
        </w:numPr>
        <w:tabs>
          <w:tab w:val="clear" w:pos="480"/>
          <w:tab w:val="num" w:pos="426"/>
        </w:tabs>
        <w:overflowPunct/>
        <w:autoSpaceDE/>
        <w:autoSpaceDN/>
        <w:adjustRightInd/>
        <w:spacing w:after="120"/>
        <w:ind w:left="425" w:hanging="425"/>
        <w:jc w:val="both"/>
        <w:textAlignment w:val="auto"/>
        <w:rPr>
          <w:sz w:val="18"/>
          <w:szCs w:val="18"/>
        </w:rPr>
      </w:pPr>
      <w:r w:rsidRPr="00C70F8A">
        <w:rPr>
          <w:sz w:val="18"/>
          <w:szCs w:val="18"/>
        </w:rPr>
        <w:t xml:space="preserve">Aktuální Pravidla jsou dostupná na webových stránkách Banky </w:t>
      </w:r>
      <w:r w:rsidRPr="00580D2E">
        <w:rPr>
          <w:sz w:val="18"/>
          <w:szCs w:val="18"/>
        </w:rPr>
        <w:t>www.kb.cz</w:t>
      </w:r>
      <w:r w:rsidRPr="00C70F8A">
        <w:rPr>
          <w:sz w:val="18"/>
          <w:szCs w:val="18"/>
        </w:rPr>
        <w:t xml:space="preserve"> a v určené provozovně Banky, a to </w:t>
      </w:r>
    </w:p>
    <w:p w:rsidR="00256EB9" w:rsidRPr="00256EB9" w:rsidRDefault="00256EB9" w:rsidP="00256EB9">
      <w:pPr>
        <w:pStyle w:val="Odstavecseseznamem"/>
        <w:spacing w:before="100" w:beforeAutospacing="1"/>
        <w:ind w:left="480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Komerční banka, a.s.</w:t>
      </w:r>
    </w:p>
    <w:p w:rsidR="00256EB9" w:rsidRPr="00256EB9" w:rsidRDefault="00256EB9" w:rsidP="00256EB9">
      <w:pPr>
        <w:pStyle w:val="Odstavecseseznamem"/>
        <w:ind w:left="480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Útvar Služby emitentům</w:t>
      </w:r>
    </w:p>
    <w:p w:rsidR="00256EB9" w:rsidRPr="00256EB9" w:rsidRDefault="00256EB9" w:rsidP="00256EB9">
      <w:pPr>
        <w:pStyle w:val="Odstavecseseznamem"/>
        <w:ind w:left="480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Václavské náměstí 42</w:t>
      </w:r>
    </w:p>
    <w:p w:rsidR="00256EB9" w:rsidRPr="00256EB9" w:rsidRDefault="00256EB9" w:rsidP="00256EB9">
      <w:pPr>
        <w:pStyle w:val="Odstavecseseznamem"/>
        <w:spacing w:after="100" w:afterAutospacing="1"/>
        <w:ind w:left="480"/>
        <w:jc w:val="both"/>
        <w:rPr>
          <w:sz w:val="18"/>
          <w:szCs w:val="18"/>
        </w:rPr>
      </w:pPr>
      <w:r w:rsidRPr="00256EB9">
        <w:rPr>
          <w:sz w:val="18"/>
          <w:szCs w:val="18"/>
        </w:rPr>
        <w:t>114 07 Praha 1</w:t>
      </w:r>
    </w:p>
    <w:p w:rsidR="00077059" w:rsidRPr="00256EB9" w:rsidRDefault="00B415B2" w:rsidP="00077059">
      <w:pPr>
        <w:spacing w:before="100" w:beforeAutospacing="1" w:after="100" w:afterAutospacing="1"/>
        <w:jc w:val="both"/>
        <w:rPr>
          <w:b/>
        </w:rPr>
      </w:pPr>
      <w:r w:rsidRPr="00256EB9">
        <w:rPr>
          <w:b/>
          <w:sz w:val="18"/>
          <w:szCs w:val="18"/>
        </w:rPr>
        <w:t xml:space="preserve">Tato Pravidla jsou účinná od </w:t>
      </w:r>
      <w:r w:rsidR="004B7B93">
        <w:rPr>
          <w:b/>
          <w:sz w:val="18"/>
          <w:szCs w:val="18"/>
        </w:rPr>
        <w:t>1.</w:t>
      </w:r>
      <w:r w:rsidR="00D938EB">
        <w:rPr>
          <w:b/>
          <w:sz w:val="18"/>
          <w:szCs w:val="18"/>
        </w:rPr>
        <w:t xml:space="preserve"> </w:t>
      </w:r>
      <w:r w:rsidR="0048331B">
        <w:rPr>
          <w:b/>
          <w:sz w:val="18"/>
          <w:szCs w:val="18"/>
        </w:rPr>
        <w:t>ledna</w:t>
      </w:r>
      <w:r w:rsidR="00D938EB">
        <w:rPr>
          <w:b/>
          <w:sz w:val="18"/>
          <w:szCs w:val="18"/>
        </w:rPr>
        <w:t xml:space="preserve"> </w:t>
      </w:r>
      <w:r w:rsidR="004B7B93">
        <w:rPr>
          <w:b/>
          <w:sz w:val="18"/>
          <w:szCs w:val="18"/>
        </w:rPr>
        <w:t>201</w:t>
      </w:r>
      <w:r w:rsidR="0048331B">
        <w:rPr>
          <w:b/>
          <w:sz w:val="18"/>
          <w:szCs w:val="18"/>
        </w:rPr>
        <w:t>4</w:t>
      </w:r>
      <w:r w:rsidR="00D938EB">
        <w:rPr>
          <w:b/>
          <w:sz w:val="18"/>
          <w:szCs w:val="18"/>
        </w:rPr>
        <w:t>.</w:t>
      </w:r>
    </w:p>
    <w:p w:rsidR="001C7193" w:rsidRDefault="001C7193" w:rsidP="00212360">
      <w:pPr>
        <w:spacing w:before="100" w:beforeAutospacing="1" w:after="100" w:afterAutospacing="1"/>
      </w:pPr>
    </w:p>
    <w:p w:rsidR="007A2749" w:rsidRDefault="007A2749" w:rsidP="00212360">
      <w:pPr>
        <w:spacing w:before="100" w:beforeAutospacing="1" w:after="100" w:afterAutospacing="1"/>
      </w:pPr>
    </w:p>
    <w:p w:rsidR="007A2749" w:rsidRDefault="007A2749" w:rsidP="00212360">
      <w:pPr>
        <w:spacing w:before="100" w:beforeAutospacing="1" w:after="100" w:afterAutospacing="1"/>
      </w:pPr>
    </w:p>
    <w:p w:rsidR="007A2749" w:rsidRDefault="007A2749" w:rsidP="00212360">
      <w:pPr>
        <w:spacing w:before="100" w:beforeAutospacing="1" w:after="100" w:afterAutospacing="1"/>
      </w:pPr>
    </w:p>
    <w:p w:rsidR="00120C2F" w:rsidRDefault="00120C2F" w:rsidP="00212360">
      <w:pPr>
        <w:spacing w:before="100" w:beforeAutospacing="1" w:after="100" w:afterAutospacing="1"/>
      </w:pPr>
    </w:p>
    <w:p w:rsidR="00120C2F" w:rsidRDefault="00120C2F" w:rsidP="00212360">
      <w:pPr>
        <w:spacing w:before="100" w:beforeAutospacing="1" w:after="100" w:afterAutospacing="1"/>
      </w:pPr>
    </w:p>
    <w:p w:rsidR="007A2749" w:rsidRDefault="007A2749" w:rsidP="00212360">
      <w:pPr>
        <w:spacing w:before="100" w:beforeAutospacing="1" w:after="100" w:afterAutospacing="1"/>
      </w:pPr>
    </w:p>
    <w:p w:rsidR="00AF3E11" w:rsidRDefault="0095581F">
      <w:pPr>
        <w:tabs>
          <w:tab w:val="left" w:pos="2930"/>
        </w:tabs>
        <w:spacing w:before="100" w:beforeAutospacing="1" w:after="100" w:afterAutospacing="1"/>
        <w:jc w:val="center"/>
        <w:rPr>
          <w:b/>
        </w:rPr>
      </w:pPr>
      <w:r w:rsidRPr="0095581F">
        <w:rPr>
          <w:b/>
        </w:rPr>
        <w:lastRenderedPageBreak/>
        <w:t>SAZEBNÍK BANKY</w:t>
      </w:r>
    </w:p>
    <w:tbl>
      <w:tblPr>
        <w:tblW w:w="85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820"/>
        <w:gridCol w:w="6180"/>
        <w:gridCol w:w="1520"/>
      </w:tblGrid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A27CD">
              <w:rPr>
                <w:sz w:val="16"/>
                <w:szCs w:val="16"/>
              </w:rPr>
              <w:t>položka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DA27CD">
              <w:rPr>
                <w:sz w:val="16"/>
                <w:szCs w:val="16"/>
              </w:rPr>
              <w:t>operace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DA27CD">
              <w:rPr>
                <w:sz w:val="16"/>
                <w:szCs w:val="16"/>
              </w:rPr>
              <w:t xml:space="preserve">cena v Kč </w:t>
            </w:r>
          </w:p>
        </w:tc>
      </w:tr>
      <w:tr w:rsidR="007A2749" w:rsidRPr="00DA27CD" w:rsidTr="00CC1EAF">
        <w:trPr>
          <w:trHeight w:val="54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Evidence na majetkovém účtu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bottom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27CD">
              <w:rPr>
                <w:b/>
                <w:bCs/>
              </w:rPr>
              <w:t> 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Zřízení majetkového účtu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Zrušení majetkového účtu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Změny údajů o osobě majitele majetkového účtu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1.4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Převod cenných papírů (platí převodce i nabyvatel)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300,- Kč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1.5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Přechod cenných papírů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300,- Kč</w:t>
            </w:r>
          </w:p>
        </w:tc>
      </w:tr>
      <w:tr w:rsidR="007A2749" w:rsidRPr="00DA27CD" w:rsidTr="00CC1EAF">
        <w:trPr>
          <w:trHeight w:val="51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1.6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Zápis/změna/zrušení pozastavení práva vlastníka nakládat s cenným papírem (PPN)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500,- Kč</w:t>
            </w:r>
          </w:p>
        </w:tc>
      </w:tr>
      <w:tr w:rsidR="007A2749" w:rsidRPr="00DA27CD" w:rsidTr="00CC1EAF">
        <w:trPr>
          <w:trHeight w:val="51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1.7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Zápis/změna/zrušení pozastavení práva vlastníka nakládat s cenným papírem (PPN) ze zákona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Zástavy cenných papírů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 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2.1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Zápis/změna zápisu/zánik zápisu zástavního práva, kdy věřitelem je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2.2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Zápis/změna zápisu/zánik zápisu zástavního práva, kdy věřitelem není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500,- Kč</w:t>
            </w:r>
          </w:p>
        </w:tc>
      </w:tr>
      <w:tr w:rsidR="007A2749" w:rsidRPr="00DA27CD" w:rsidTr="00CC1EAF">
        <w:trPr>
          <w:trHeight w:val="27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2.3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Zápis/změna zápisu/zánik zápisu zástavního práva ze zákona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zdarma</w:t>
            </w:r>
          </w:p>
        </w:tc>
      </w:tr>
      <w:tr w:rsidR="007A2749" w:rsidRPr="00DA27CD" w:rsidTr="00CC1EAF">
        <w:trPr>
          <w:trHeight w:val="22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2.4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Realizace zástavy - převedení cenného papíru na nabyvatele (platí nabyvatel)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300,- Kč</w:t>
            </w:r>
          </w:p>
        </w:tc>
      </w:tr>
      <w:tr w:rsidR="007A2749" w:rsidRPr="00DA27CD" w:rsidTr="00CC1EAF">
        <w:trPr>
          <w:trHeight w:val="36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Výpisy z majetkových účtů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 </w:t>
            </w:r>
          </w:p>
        </w:tc>
      </w:tr>
      <w:tr w:rsidR="007A2749" w:rsidRPr="00DA27CD" w:rsidTr="00CC1EAF">
        <w:trPr>
          <w:trHeight w:val="22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výpis na vyžádání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 </w:t>
            </w:r>
          </w:p>
        </w:tc>
      </w:tr>
      <w:tr w:rsidR="007A2749" w:rsidRPr="00DA27CD" w:rsidTr="00CC1EAF">
        <w:trPr>
          <w:trHeight w:val="22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3.1.1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- pro klienta s účtem v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150,- Kč</w:t>
            </w:r>
          </w:p>
        </w:tc>
      </w:tr>
      <w:tr w:rsidR="007A2749" w:rsidRPr="00DA27CD" w:rsidTr="00CC1EAF">
        <w:trPr>
          <w:trHeight w:val="22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3.1.2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- pro klienta bez účtu v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300,- Kč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4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Ostatní služby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33"/>
            <w:noWrap/>
            <w:vAlign w:val="center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FFFFFF"/>
              </w:rPr>
            </w:pPr>
            <w:r w:rsidRPr="00DA27CD">
              <w:rPr>
                <w:b/>
                <w:bCs/>
                <w:color w:val="FFFFFF"/>
              </w:rPr>
              <w:t> 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4.1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Poplatek za vydání potvrzení o cenných papírech v samostatné evidenci (za ISIN)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 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4.1.1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- pro klienta s účtem v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150,- Kč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4.1.2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- pro klienta bez účtu v KB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300,- Kč</w:t>
            </w:r>
          </w:p>
        </w:tc>
      </w:tr>
      <w:tr w:rsidR="007A2749" w:rsidRPr="00DA27CD" w:rsidTr="00CC1EAF">
        <w:trPr>
          <w:trHeight w:val="285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4.2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Poplatek za neoprávněně podanou nebo opožděnou reklamaci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500,- Kč</w:t>
            </w:r>
          </w:p>
        </w:tc>
      </w:tr>
      <w:tr w:rsidR="007A2749" w:rsidRPr="00DA27CD" w:rsidTr="00CC1EAF">
        <w:trPr>
          <w:trHeight w:val="9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4.3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Poplatek za ostatní služby vyžadující manuální zpracování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7A2749" w:rsidRPr="00EB69D3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6"/>
                <w:szCs w:val="16"/>
              </w:rPr>
            </w:pPr>
            <w:r w:rsidRPr="00EB69D3">
              <w:rPr>
                <w:sz w:val="16"/>
                <w:szCs w:val="16"/>
              </w:rPr>
              <w:t>350,-- Kč za každých započatých 15 minut úkonu</w:t>
            </w:r>
          </w:p>
        </w:tc>
      </w:tr>
      <w:tr w:rsidR="007A2749" w:rsidRPr="00DA27CD" w:rsidTr="00CC1EAF">
        <w:trPr>
          <w:trHeight w:val="450"/>
          <w:jc w:val="center"/>
        </w:trPr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textAlignment w:val="auto"/>
              <w:rPr>
                <w:i/>
                <w:iCs/>
                <w:sz w:val="16"/>
                <w:szCs w:val="16"/>
              </w:rPr>
            </w:pPr>
            <w:r w:rsidRPr="00DA27CD">
              <w:rPr>
                <w:i/>
                <w:iCs/>
                <w:sz w:val="16"/>
                <w:szCs w:val="16"/>
              </w:rPr>
              <w:t>Uvedené ceny nezahrnují DPH, která bude v případě uplatnění připočtena v příslušné výši.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749" w:rsidRPr="00DA27CD" w:rsidRDefault="007A2749" w:rsidP="007A2749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iCs/>
                <w:sz w:val="16"/>
                <w:szCs w:val="16"/>
              </w:rPr>
            </w:pPr>
          </w:p>
        </w:tc>
      </w:tr>
    </w:tbl>
    <w:p w:rsidR="007A2749" w:rsidRDefault="007A2749" w:rsidP="00212360">
      <w:pPr>
        <w:spacing w:before="100" w:beforeAutospacing="1" w:after="100" w:afterAutospacing="1"/>
      </w:pPr>
    </w:p>
    <w:sectPr w:rsidR="007A2749" w:rsidSect="00B415B2">
      <w:type w:val="continuous"/>
      <w:pgSz w:w="11907" w:h="16840" w:code="9"/>
      <w:pgMar w:top="1134" w:right="1134" w:bottom="1134" w:left="1134" w:header="454" w:footer="397" w:gutter="0"/>
      <w:cols w:space="708" w:equalWidth="0">
        <w:col w:w="9406" w:space="70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95E" w:rsidRDefault="0042695E">
      <w:r>
        <w:separator/>
      </w:r>
    </w:p>
  </w:endnote>
  <w:endnote w:type="continuationSeparator" w:id="0">
    <w:p w:rsidR="0042695E" w:rsidRDefault="00426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Blogo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601"/>
      <w:gridCol w:w="4038"/>
    </w:tblGrid>
    <w:tr w:rsidR="002964B2" w:rsidTr="00C57175">
      <w:tc>
        <w:tcPr>
          <w:tcW w:w="5601" w:type="dxa"/>
          <w:tcBorders>
            <w:top w:val="nil"/>
            <w:left w:val="nil"/>
            <w:bottom w:val="nil"/>
            <w:right w:val="nil"/>
          </w:tcBorders>
        </w:tcPr>
        <w:p w:rsidR="002964B2" w:rsidRDefault="002964B2" w:rsidP="00C57175">
          <w:pPr>
            <w:pStyle w:val="kbFixedtext"/>
            <w:spacing w:before="100"/>
          </w:pPr>
          <w:r>
            <w:t xml:space="preserve">Komerční banka, a.s., se sídlem: </w:t>
          </w:r>
        </w:p>
        <w:p w:rsidR="002964B2" w:rsidRDefault="002964B2" w:rsidP="00C57175">
          <w:pPr>
            <w:pStyle w:val="kbFixedtext"/>
          </w:pPr>
          <w:r>
            <w:t xml:space="preserve">Praha 1, Na Příkopě 33 </w:t>
          </w:r>
          <w:proofErr w:type="spellStart"/>
          <w:r>
            <w:t>čp</w:t>
          </w:r>
          <w:proofErr w:type="spellEnd"/>
          <w:r>
            <w:t>. 969, PSČ 114 07, IČO: 45317054</w:t>
          </w:r>
        </w:p>
        <w:p w:rsidR="002964B2" w:rsidRDefault="002964B2" w:rsidP="00C57175">
          <w:pPr>
            <w:pStyle w:val="kbRegistration"/>
          </w:pPr>
          <w:r>
            <w:t>ZAPSANÁ V OBCHODNÍM REJSTŘÍKU VEDENÉM MĚSTSKÝm SOUDEM V PRAZE, ODDÍL B, VLOŽKA 1360</w:t>
          </w:r>
        </w:p>
      </w:tc>
      <w:tc>
        <w:tcPr>
          <w:tcW w:w="4038" w:type="dxa"/>
          <w:tcBorders>
            <w:top w:val="nil"/>
            <w:left w:val="nil"/>
            <w:bottom w:val="nil"/>
            <w:right w:val="nil"/>
          </w:tcBorders>
        </w:tcPr>
        <w:p w:rsidR="002964B2" w:rsidRDefault="006A6D31" w:rsidP="00C57175">
          <w:pPr>
            <w:pStyle w:val="kbFixedtext"/>
            <w:spacing w:before="100"/>
            <w:jc w:val="right"/>
            <w:rPr>
              <w:rStyle w:val="slostrnky"/>
            </w:rPr>
          </w:pPr>
          <w:r>
            <w:rPr>
              <w:rStyle w:val="slostrnky"/>
              <w:color w:val="000000"/>
              <w:lang w:val="en-AU"/>
            </w:rPr>
            <w:fldChar w:fldCharType="begin"/>
          </w:r>
          <w:r w:rsidR="002964B2" w:rsidRPr="00586E5A">
            <w:rPr>
              <w:rStyle w:val="slostrnky"/>
              <w:color w:val="000000"/>
            </w:rPr>
            <w:instrText xml:space="preserve"> PAGE </w:instrText>
          </w:r>
          <w:r>
            <w:rPr>
              <w:rStyle w:val="slostrnky"/>
              <w:color w:val="000000"/>
              <w:lang w:val="en-AU"/>
            </w:rPr>
            <w:fldChar w:fldCharType="separate"/>
          </w:r>
          <w:r w:rsidR="0041431D">
            <w:rPr>
              <w:rStyle w:val="slostrnky"/>
              <w:noProof/>
              <w:color w:val="000000"/>
            </w:rPr>
            <w:t>1</w:t>
          </w:r>
          <w:r>
            <w:rPr>
              <w:rStyle w:val="slostrnky"/>
              <w:color w:val="000000"/>
              <w:lang w:val="en-AU"/>
            </w:rPr>
            <w:fldChar w:fldCharType="end"/>
          </w:r>
          <w:r w:rsidR="002964B2" w:rsidRPr="00586E5A">
            <w:rPr>
              <w:rStyle w:val="slostrnky"/>
              <w:color w:val="000000"/>
            </w:rPr>
            <w:t>/</w:t>
          </w:r>
          <w:r>
            <w:rPr>
              <w:rStyle w:val="slostrnky"/>
              <w:color w:val="000000"/>
              <w:lang w:val="en-AU"/>
            </w:rPr>
            <w:fldChar w:fldCharType="begin"/>
          </w:r>
          <w:r w:rsidR="002964B2" w:rsidRPr="00586E5A">
            <w:rPr>
              <w:rStyle w:val="slostrnky"/>
              <w:color w:val="000000"/>
            </w:rPr>
            <w:instrText xml:space="preserve"> NUMPAGES </w:instrText>
          </w:r>
          <w:r>
            <w:rPr>
              <w:rStyle w:val="slostrnky"/>
              <w:color w:val="000000"/>
              <w:lang w:val="en-AU"/>
            </w:rPr>
            <w:fldChar w:fldCharType="separate"/>
          </w:r>
          <w:r w:rsidR="0041431D">
            <w:rPr>
              <w:rStyle w:val="slostrnky"/>
              <w:noProof/>
              <w:color w:val="000000"/>
            </w:rPr>
            <w:t>9</w:t>
          </w:r>
          <w:r>
            <w:rPr>
              <w:rStyle w:val="slostrnky"/>
              <w:color w:val="000000"/>
              <w:lang w:val="en-AU"/>
            </w:rPr>
            <w:fldChar w:fldCharType="end"/>
          </w:r>
        </w:p>
        <w:p w:rsidR="002964B2" w:rsidRPr="00F94C4C" w:rsidRDefault="002964B2" w:rsidP="00C57175">
          <w:pPr>
            <w:pStyle w:val="Registration"/>
            <w:jc w:val="right"/>
            <w:rPr>
              <w:szCs w:val="8"/>
            </w:rPr>
          </w:pPr>
          <w:r w:rsidRPr="00F94C4C">
            <w:rPr>
              <w:szCs w:val="8"/>
            </w:rPr>
            <w:t>Datum účinnosti šablony</w:t>
          </w:r>
          <w:r>
            <w:rPr>
              <w:szCs w:val="8"/>
            </w:rPr>
            <w:t xml:space="preserve"> </w:t>
          </w:r>
          <w:proofErr w:type="gramStart"/>
          <w:r>
            <w:rPr>
              <w:szCs w:val="8"/>
            </w:rPr>
            <w:t>1.1.2014</w:t>
          </w:r>
          <w:proofErr w:type="gramEnd"/>
        </w:p>
        <w:p w:rsidR="002964B2" w:rsidRDefault="002964B2" w:rsidP="00C57175">
          <w:pPr>
            <w:pStyle w:val="Registration"/>
            <w:jc w:val="right"/>
          </w:pPr>
        </w:p>
      </w:tc>
    </w:tr>
  </w:tbl>
  <w:p w:rsidR="002964B2" w:rsidRDefault="002964B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95E" w:rsidRDefault="0042695E">
      <w:r>
        <w:separator/>
      </w:r>
    </w:p>
  </w:footnote>
  <w:footnote w:type="continuationSeparator" w:id="0">
    <w:p w:rsidR="0042695E" w:rsidRDefault="00426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8" w:type="dxa"/>
      <w:tblInd w:w="-170" w:type="dxa"/>
      <w:tblLayout w:type="fixed"/>
      <w:tblCellMar>
        <w:left w:w="70" w:type="dxa"/>
        <w:right w:w="70" w:type="dxa"/>
      </w:tblCellMar>
      <w:tblLook w:val="0000"/>
    </w:tblPr>
    <w:tblGrid>
      <w:gridCol w:w="3979"/>
      <w:gridCol w:w="6609"/>
    </w:tblGrid>
    <w:tr w:rsidR="00DB557C">
      <w:trPr>
        <w:trHeight w:val="1418"/>
      </w:trPr>
      <w:tc>
        <w:tcPr>
          <w:tcW w:w="3926" w:type="dxa"/>
          <w:tcBorders>
            <w:top w:val="nil"/>
            <w:left w:val="nil"/>
            <w:bottom w:val="nil"/>
            <w:right w:val="nil"/>
          </w:tcBorders>
        </w:tcPr>
        <w:p w:rsidR="00DB557C" w:rsidRDefault="00DB557C" w:rsidP="00BD7447">
          <w:r>
            <w:rPr>
              <w:rFonts w:ascii="KBlogo" w:hAnsi="KBlogo" w:cs="KBlogo"/>
              <w:sz w:val="108"/>
              <w:szCs w:val="108"/>
            </w:rPr>
            <w:t></w:t>
          </w:r>
          <w:r>
            <w:t xml:space="preserve"> </w:t>
          </w:r>
        </w:p>
      </w:tc>
      <w:tc>
        <w:tcPr>
          <w:tcW w:w="6520" w:type="dxa"/>
          <w:tcBorders>
            <w:top w:val="nil"/>
            <w:left w:val="nil"/>
            <w:bottom w:val="nil"/>
            <w:right w:val="nil"/>
          </w:tcBorders>
        </w:tcPr>
        <w:p w:rsidR="00AF3E11" w:rsidRDefault="00DB557C">
          <w:pPr>
            <w:pStyle w:val="kbDocumentnameextrenal"/>
            <w:tabs>
              <w:tab w:val="clear" w:pos="6167"/>
              <w:tab w:val="right" w:pos="7017"/>
            </w:tabs>
            <w:spacing w:before="0"/>
            <w:ind w:right="639"/>
          </w:pPr>
          <w:r>
            <w:t xml:space="preserve">             Pravidla vedení samostatné evidence</w:t>
          </w:r>
        </w:p>
        <w:p w:rsidR="00AF3E11" w:rsidRDefault="00DB557C">
          <w:pPr>
            <w:pStyle w:val="kbDocumentnameextrenal"/>
            <w:tabs>
              <w:tab w:val="clear" w:pos="6167"/>
              <w:tab w:val="right" w:pos="7017"/>
            </w:tabs>
            <w:spacing w:before="0"/>
            <w:ind w:right="639"/>
          </w:pPr>
          <w:r>
            <w:t xml:space="preserve">                                         Komerční banky, a.s.</w:t>
          </w:r>
        </w:p>
      </w:tc>
    </w:tr>
  </w:tbl>
  <w:p w:rsidR="00DB557C" w:rsidRDefault="00DB557C">
    <w:pPr>
      <w:pStyle w:val="Zhlav"/>
    </w:pPr>
  </w:p>
  <w:p w:rsidR="00DB557C" w:rsidRDefault="00DB557C">
    <w:pPr>
      <w:pStyle w:val="Zhlav"/>
    </w:pPr>
  </w:p>
  <w:p w:rsidR="00DB557C" w:rsidRDefault="00DB55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037"/>
    <w:multiLevelType w:val="hybridMultilevel"/>
    <w:tmpl w:val="636A6268"/>
    <w:lvl w:ilvl="0" w:tplc="DBF87028">
      <w:start w:val="1"/>
      <w:numFmt w:val="lowerLetter"/>
      <w:lvlText w:val="(%1)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6"/>
        </w:tabs>
        <w:ind w:left="654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266"/>
        </w:tabs>
        <w:ind w:left="726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986"/>
        </w:tabs>
        <w:ind w:left="798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706"/>
        </w:tabs>
        <w:ind w:left="870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426"/>
        </w:tabs>
        <w:ind w:left="942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146"/>
        </w:tabs>
        <w:ind w:left="1014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866"/>
        </w:tabs>
        <w:ind w:left="1086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586"/>
        </w:tabs>
        <w:ind w:left="11586" w:hanging="180"/>
      </w:pPr>
    </w:lvl>
  </w:abstractNum>
  <w:abstractNum w:abstractNumId="1">
    <w:nsid w:val="0868397C"/>
    <w:multiLevelType w:val="multilevel"/>
    <w:tmpl w:val="CF70A4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E080201"/>
    <w:multiLevelType w:val="hybridMultilevel"/>
    <w:tmpl w:val="435A3C76"/>
    <w:lvl w:ilvl="0" w:tplc="6B622BA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sz w:val="14"/>
        <w:szCs w:val="1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974A0"/>
    <w:multiLevelType w:val="multilevel"/>
    <w:tmpl w:val="B1DA99EC"/>
    <w:lvl w:ilvl="0">
      <w:start w:val="1"/>
      <w:numFmt w:val="decimal"/>
      <w:pStyle w:val="Pokus1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7.3.%3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4">
    <w:nsid w:val="0EC95519"/>
    <w:multiLevelType w:val="hybridMultilevel"/>
    <w:tmpl w:val="AF76CE32"/>
    <w:lvl w:ilvl="0" w:tplc="E0F48E7E">
      <w:start w:val="1"/>
      <w:numFmt w:val="lowerRoman"/>
      <w:lvlText w:val="(%1) "/>
      <w:lvlJc w:val="left"/>
      <w:pPr>
        <w:tabs>
          <w:tab w:val="num" w:pos="76"/>
        </w:tabs>
        <w:ind w:left="643" w:hanging="283"/>
      </w:pPr>
      <w:rPr>
        <w:rFonts w:ascii="Arial" w:hAnsi="Arial" w:hint="default"/>
        <w:b w:val="0"/>
        <w:i w:val="0"/>
        <w:sz w:val="18"/>
        <w:szCs w:val="18"/>
        <w:u w:val="none"/>
      </w:rPr>
    </w:lvl>
    <w:lvl w:ilvl="1" w:tplc="EB5CD60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81DF8"/>
    <w:multiLevelType w:val="multilevel"/>
    <w:tmpl w:val="BDA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4BD3BC5"/>
    <w:multiLevelType w:val="hybridMultilevel"/>
    <w:tmpl w:val="DA2A1A8E"/>
    <w:lvl w:ilvl="0" w:tplc="26FCE9C6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151B6060"/>
    <w:multiLevelType w:val="hybridMultilevel"/>
    <w:tmpl w:val="3E8AC664"/>
    <w:lvl w:ilvl="0" w:tplc="DBF87028">
      <w:start w:val="1"/>
      <w:numFmt w:val="lowerLetter"/>
      <w:lvlText w:val="(%1)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6"/>
        </w:tabs>
        <w:ind w:left="654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266"/>
        </w:tabs>
        <w:ind w:left="726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986"/>
        </w:tabs>
        <w:ind w:left="798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706"/>
        </w:tabs>
        <w:ind w:left="870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426"/>
        </w:tabs>
        <w:ind w:left="942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146"/>
        </w:tabs>
        <w:ind w:left="1014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866"/>
        </w:tabs>
        <w:ind w:left="1086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586"/>
        </w:tabs>
        <w:ind w:left="11586" w:hanging="180"/>
      </w:pPr>
    </w:lvl>
  </w:abstractNum>
  <w:abstractNum w:abstractNumId="8">
    <w:nsid w:val="16880CBF"/>
    <w:multiLevelType w:val="hybridMultilevel"/>
    <w:tmpl w:val="40C8A9AC"/>
    <w:lvl w:ilvl="0" w:tplc="6ABAEB0E">
      <w:start w:val="1"/>
      <w:numFmt w:val="lowerLetter"/>
      <w:lvlText w:val="%1) "/>
      <w:legacy w:legacy="1" w:legacySpace="0" w:legacyIndent="283"/>
      <w:lvlJc w:val="left"/>
      <w:pPr>
        <w:ind w:left="851" w:hanging="283"/>
      </w:pPr>
      <w:rPr>
        <w:rFonts w:ascii="Arial" w:hAnsi="Arial" w:cs="Arial" w:hint="default"/>
        <w:b w:val="0"/>
        <w:i w:val="0"/>
        <w:sz w:val="18"/>
        <w:szCs w:val="18"/>
        <w:u w:val="none"/>
      </w:rPr>
    </w:lvl>
    <w:lvl w:ilvl="1" w:tplc="D68442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40088F"/>
    <w:multiLevelType w:val="multilevel"/>
    <w:tmpl w:val="94EEFD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56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122"/>
        </w:tabs>
        <w:ind w:left="3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4"/>
        </w:tabs>
        <w:ind w:left="48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60"/>
        </w:tabs>
        <w:ind w:left="5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66"/>
        </w:tabs>
        <w:ind w:left="66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32"/>
        </w:tabs>
        <w:ind w:left="7732" w:hanging="1800"/>
      </w:pPr>
      <w:rPr>
        <w:rFonts w:hint="default"/>
      </w:rPr>
    </w:lvl>
  </w:abstractNum>
  <w:abstractNum w:abstractNumId="10">
    <w:nsid w:val="18DA203C"/>
    <w:multiLevelType w:val="multilevel"/>
    <w:tmpl w:val="377CDCB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B391C7C"/>
    <w:multiLevelType w:val="hybridMultilevel"/>
    <w:tmpl w:val="DD26B9C6"/>
    <w:lvl w:ilvl="0" w:tplc="F764814C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1A37DA"/>
    <w:multiLevelType w:val="multilevel"/>
    <w:tmpl w:val="C8D0487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14A4958"/>
    <w:multiLevelType w:val="hybridMultilevel"/>
    <w:tmpl w:val="E7BC98F4"/>
    <w:lvl w:ilvl="0" w:tplc="A4EA5402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BF87028">
      <w:start w:val="1"/>
      <w:numFmt w:val="lowerLetter"/>
      <w:lvlText w:val="(%8)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 w:tplc="DBF87028">
      <w:start w:val="1"/>
      <w:numFmt w:val="lowerLetter"/>
      <w:lvlText w:val="(%9)"/>
      <w:lvlJc w:val="left"/>
      <w:pPr>
        <w:tabs>
          <w:tab w:val="num" w:pos="5826"/>
        </w:tabs>
        <w:ind w:left="5826" w:hanging="360"/>
      </w:pPr>
      <w:rPr>
        <w:rFonts w:hint="default"/>
      </w:rPr>
    </w:lvl>
  </w:abstractNum>
  <w:abstractNum w:abstractNumId="14">
    <w:nsid w:val="234A0942"/>
    <w:multiLevelType w:val="hybridMultilevel"/>
    <w:tmpl w:val="5734FEB0"/>
    <w:lvl w:ilvl="0" w:tplc="C268BA66">
      <w:start w:val="1"/>
      <w:numFmt w:val="lowerRoman"/>
      <w:lvlText w:val="(%1)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8D4C16C4">
      <w:start w:val="1"/>
      <w:numFmt w:val="lowerLetter"/>
      <w:lvlText w:val="(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8A3CB05C">
      <w:start w:val="1"/>
      <w:numFmt w:val="lowerLetter"/>
      <w:lvlText w:val="(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2B5A4526"/>
    <w:multiLevelType w:val="multilevel"/>
    <w:tmpl w:val="4D1EEAC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322E4882"/>
    <w:multiLevelType w:val="hybridMultilevel"/>
    <w:tmpl w:val="D6563042"/>
    <w:lvl w:ilvl="0" w:tplc="EB5CD60E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000B7E"/>
    <w:multiLevelType w:val="multilevel"/>
    <w:tmpl w:val="CF70A4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2F3A8E"/>
    <w:multiLevelType w:val="hybridMultilevel"/>
    <w:tmpl w:val="DB7836A8"/>
    <w:lvl w:ilvl="0" w:tplc="473C2F3E">
      <w:start w:val="1"/>
      <w:numFmt w:val="lowerLetter"/>
      <w:lvlText w:val="(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9">
    <w:nsid w:val="3E4A636D"/>
    <w:multiLevelType w:val="hybridMultilevel"/>
    <w:tmpl w:val="7EB8CA00"/>
    <w:lvl w:ilvl="0" w:tplc="FABA5EC8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46237EF3"/>
    <w:multiLevelType w:val="multilevel"/>
    <w:tmpl w:val="F984C998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A9159E1"/>
    <w:multiLevelType w:val="hybridMultilevel"/>
    <w:tmpl w:val="6E46D6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05001B">
      <w:start w:val="1"/>
      <w:numFmt w:val="lowerLetter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22">
    <w:nsid w:val="4A9C7E20"/>
    <w:multiLevelType w:val="hybridMultilevel"/>
    <w:tmpl w:val="DF74FD26"/>
    <w:lvl w:ilvl="0" w:tplc="ECCCE398">
      <w:start w:val="1"/>
      <w:numFmt w:val="lowerLetter"/>
      <w:lvlText w:val="(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52793107"/>
    <w:multiLevelType w:val="multilevel"/>
    <w:tmpl w:val="51047F56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53511A6D"/>
    <w:multiLevelType w:val="multilevel"/>
    <w:tmpl w:val="17F8F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2">
      <w:start w:val="1"/>
      <w:numFmt w:val="decimal"/>
      <w:lvlText w:val="4.5.%3"/>
      <w:lvlJc w:val="left"/>
      <w:pPr>
        <w:tabs>
          <w:tab w:val="num" w:pos="992"/>
        </w:tabs>
        <w:ind w:left="992" w:hanging="567"/>
      </w:pPr>
      <w:rPr>
        <w:rFonts w:hint="default"/>
        <w:b w:val="0"/>
      </w:rPr>
    </w:lvl>
    <w:lvl w:ilvl="3">
      <w:start w:val="1"/>
      <w:numFmt w:val="decimal"/>
      <w:lvlText w:val="4.6.2.%4."/>
      <w:lvlJc w:val="left"/>
      <w:pPr>
        <w:tabs>
          <w:tab w:val="num" w:pos="1701"/>
        </w:tabs>
        <w:ind w:left="1701" w:hanging="709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5">
    <w:nsid w:val="56956BEA"/>
    <w:multiLevelType w:val="hybridMultilevel"/>
    <w:tmpl w:val="3982992E"/>
    <w:lvl w:ilvl="0" w:tplc="1DAA8694">
      <w:start w:val="1"/>
      <w:numFmt w:val="lowerLetter"/>
      <w:lvlText w:val="(%1)"/>
      <w:lvlJc w:val="left"/>
      <w:pPr>
        <w:ind w:left="1363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6">
    <w:nsid w:val="570F13C0"/>
    <w:multiLevelType w:val="hybridMultilevel"/>
    <w:tmpl w:val="0C186318"/>
    <w:lvl w:ilvl="0" w:tplc="09A427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3C3268">
      <w:start w:val="1"/>
      <w:numFmt w:val="upperRoman"/>
      <w:pStyle w:val="NadpisI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sz w:val="18"/>
        <w:szCs w:val="18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7A1B5B"/>
    <w:multiLevelType w:val="multilevel"/>
    <w:tmpl w:val="888CE3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decimal"/>
      <w:lvlText w:val="8.4.2.%4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28">
    <w:nsid w:val="590D176E"/>
    <w:multiLevelType w:val="multilevel"/>
    <w:tmpl w:val="D496125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A177EDD"/>
    <w:multiLevelType w:val="hybridMultilevel"/>
    <w:tmpl w:val="8A020948"/>
    <w:lvl w:ilvl="0" w:tplc="26FCE9C6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BF7CB4"/>
    <w:multiLevelType w:val="multilevel"/>
    <w:tmpl w:val="EA42829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5BC42C16"/>
    <w:multiLevelType w:val="hybridMultilevel"/>
    <w:tmpl w:val="171843EC"/>
    <w:lvl w:ilvl="0" w:tplc="FFFFFFFF">
      <w:start w:val="1"/>
      <w:numFmt w:val="lowerLetter"/>
      <w:lvlText w:val="(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32">
    <w:nsid w:val="65163BA4"/>
    <w:multiLevelType w:val="multilevel"/>
    <w:tmpl w:val="A6A0F5FC"/>
    <w:lvl w:ilvl="0">
      <w:start w:val="1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7D056CB"/>
    <w:multiLevelType w:val="hybridMultilevel"/>
    <w:tmpl w:val="FA60CEE0"/>
    <w:lvl w:ilvl="0" w:tplc="DDC0AAA0">
      <w:start w:val="1"/>
      <w:numFmt w:val="lowerLetter"/>
      <w:lvlText w:val="%1)"/>
      <w:lvlJc w:val="left"/>
      <w:pPr>
        <w:tabs>
          <w:tab w:val="num" w:pos="1985"/>
        </w:tabs>
        <w:ind w:left="1985" w:hanging="426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8411AC"/>
    <w:multiLevelType w:val="hybridMultilevel"/>
    <w:tmpl w:val="AA749564"/>
    <w:lvl w:ilvl="0" w:tplc="91E484B2">
      <w:start w:val="1"/>
      <w:numFmt w:val="lowerLetter"/>
      <w:lvlText w:val="%1)"/>
      <w:lvlJc w:val="left"/>
      <w:pPr>
        <w:tabs>
          <w:tab w:val="num" w:pos="1418"/>
        </w:tabs>
        <w:ind w:left="1418" w:hanging="426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D12816"/>
    <w:multiLevelType w:val="hybridMultilevel"/>
    <w:tmpl w:val="2C2E2E32"/>
    <w:lvl w:ilvl="0" w:tplc="8A3CB05C">
      <w:start w:val="1"/>
      <w:numFmt w:val="lowerLetter"/>
      <w:lvlText w:val="(%1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28"/>
        </w:tabs>
        <w:ind w:left="282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48"/>
        </w:tabs>
        <w:ind w:left="354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68"/>
        </w:tabs>
        <w:ind w:left="42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88"/>
        </w:tabs>
        <w:ind w:left="49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08"/>
        </w:tabs>
        <w:ind w:left="57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28"/>
        </w:tabs>
        <w:ind w:left="64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48"/>
        </w:tabs>
        <w:ind w:left="71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68"/>
        </w:tabs>
        <w:ind w:left="7868" w:hanging="180"/>
      </w:pPr>
    </w:lvl>
  </w:abstractNum>
  <w:abstractNum w:abstractNumId="36">
    <w:nsid w:val="6F345DFC"/>
    <w:multiLevelType w:val="multilevel"/>
    <w:tmpl w:val="1A4E8D0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1559" w:hanging="567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22F4316"/>
    <w:multiLevelType w:val="multilevel"/>
    <w:tmpl w:val="70ACF13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28A63A0"/>
    <w:multiLevelType w:val="hybridMultilevel"/>
    <w:tmpl w:val="7A00F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30008B3"/>
    <w:multiLevelType w:val="multilevel"/>
    <w:tmpl w:val="2B1C55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4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decimal"/>
      <w:lvlText w:val="8.4.2.%4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40">
    <w:nsid w:val="73107D5E"/>
    <w:multiLevelType w:val="multilevel"/>
    <w:tmpl w:val="A2C02946"/>
    <w:lvl w:ilvl="0">
      <w:start w:val="1"/>
      <w:numFmt w:val="ordinal"/>
      <w:lvlText w:val="%1"/>
      <w:lvlJc w:val="left"/>
      <w:pPr>
        <w:tabs>
          <w:tab w:val="num" w:pos="1004"/>
        </w:tabs>
        <w:ind w:left="1004" w:hanging="720"/>
      </w:pPr>
      <w:rPr>
        <w:rFonts w:hint="default"/>
        <w:b/>
        <w:i w:val="0"/>
        <w:caps w:val="0"/>
      </w:rPr>
    </w:lvl>
    <w:lvl w:ilvl="1">
      <w:start w:val="1"/>
      <w:numFmt w:val="decimal"/>
      <w:lvlText w:val="%1%2"/>
      <w:lvlJc w:val="left"/>
      <w:pPr>
        <w:tabs>
          <w:tab w:val="num" w:pos="1714"/>
        </w:tabs>
        <w:ind w:left="1714" w:hanging="720"/>
      </w:pPr>
      <w:rPr>
        <w:rFonts w:hint="default"/>
        <w:b w:val="0"/>
        <w:i w:val="0"/>
      </w:rPr>
    </w:lvl>
    <w:lvl w:ilvl="2">
      <w:start w:val="1"/>
      <w:numFmt w:val="decimal"/>
      <w:lvlText w:val="%1%2.%3"/>
      <w:lvlJc w:val="left"/>
      <w:pPr>
        <w:tabs>
          <w:tab w:val="num" w:pos="2416"/>
        </w:tabs>
        <w:ind w:left="241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122"/>
        </w:tabs>
        <w:ind w:left="3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88"/>
        </w:tabs>
        <w:ind w:left="4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94"/>
        </w:tabs>
        <w:ind w:left="48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60"/>
        </w:tabs>
        <w:ind w:left="5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66"/>
        </w:tabs>
        <w:ind w:left="66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32"/>
        </w:tabs>
        <w:ind w:left="7732" w:hanging="1800"/>
      </w:pPr>
      <w:rPr>
        <w:rFonts w:hint="default"/>
      </w:rPr>
    </w:lvl>
  </w:abstractNum>
  <w:abstractNum w:abstractNumId="41">
    <w:nsid w:val="75162811"/>
    <w:multiLevelType w:val="hybridMultilevel"/>
    <w:tmpl w:val="49709E10"/>
    <w:lvl w:ilvl="0" w:tplc="FFFFFFFF">
      <w:start w:val="1"/>
      <w:numFmt w:val="lowerLetter"/>
      <w:lvlText w:val="(%1)"/>
      <w:lvlJc w:val="left"/>
      <w:pPr>
        <w:tabs>
          <w:tab w:val="num" w:pos="1566"/>
        </w:tabs>
        <w:ind w:left="1566" w:hanging="11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2">
    <w:nsid w:val="76D65143"/>
    <w:multiLevelType w:val="multilevel"/>
    <w:tmpl w:val="F984C99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>
    <w:nsid w:val="76D77195"/>
    <w:multiLevelType w:val="multilevel"/>
    <w:tmpl w:val="B07400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11" w:hanging="41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7D742E9"/>
    <w:multiLevelType w:val="hybridMultilevel"/>
    <w:tmpl w:val="281E8414"/>
    <w:lvl w:ilvl="0" w:tplc="32B23468">
      <w:start w:val="1"/>
      <w:numFmt w:val="decimal"/>
      <w:pStyle w:val="1Normlnodsaze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BE173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17A463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786982"/>
    <w:multiLevelType w:val="multilevel"/>
    <w:tmpl w:val="C610D7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>
    <w:nsid w:val="7CD43001"/>
    <w:multiLevelType w:val="hybridMultilevel"/>
    <w:tmpl w:val="DE14679E"/>
    <w:lvl w:ilvl="0" w:tplc="FFFFFFFF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>
    <w:nsid w:val="7DB267B0"/>
    <w:multiLevelType w:val="multilevel"/>
    <w:tmpl w:val="DDBAB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F7E5F16"/>
    <w:multiLevelType w:val="multilevel"/>
    <w:tmpl w:val="8E84E472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7F995F17"/>
    <w:multiLevelType w:val="multilevel"/>
    <w:tmpl w:val="DD606D2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2.%2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sz w:val="14"/>
        <w:szCs w:val="14"/>
      </w:rPr>
    </w:lvl>
    <w:lvl w:ilvl="2">
      <w:start w:val="1"/>
      <w:numFmt w:val="decimal"/>
      <w:lvlText w:val="4.1.%3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num w:numId="1">
    <w:abstractNumId w:val="26"/>
  </w:num>
  <w:num w:numId="2">
    <w:abstractNumId w:val="40"/>
  </w:num>
  <w:num w:numId="3">
    <w:abstractNumId w:val="15"/>
  </w:num>
  <w:num w:numId="4">
    <w:abstractNumId w:val="44"/>
  </w:num>
  <w:num w:numId="5">
    <w:abstractNumId w:val="8"/>
  </w:num>
  <w:num w:numId="6">
    <w:abstractNumId w:val="37"/>
  </w:num>
  <w:num w:numId="7">
    <w:abstractNumId w:val="28"/>
  </w:num>
  <w:num w:numId="8">
    <w:abstractNumId w:val="30"/>
  </w:num>
  <w:num w:numId="9">
    <w:abstractNumId w:val="32"/>
  </w:num>
  <w:num w:numId="10">
    <w:abstractNumId w:val="48"/>
  </w:num>
  <w:num w:numId="11">
    <w:abstractNumId w:val="4"/>
  </w:num>
  <w:num w:numId="12">
    <w:abstractNumId w:val="39"/>
  </w:num>
  <w:num w:numId="13">
    <w:abstractNumId w:val="49"/>
  </w:num>
  <w:num w:numId="14">
    <w:abstractNumId w:val="36"/>
  </w:num>
  <w:num w:numId="15">
    <w:abstractNumId w:val="33"/>
  </w:num>
  <w:num w:numId="16">
    <w:abstractNumId w:val="2"/>
  </w:num>
  <w:num w:numId="17">
    <w:abstractNumId w:val="24"/>
  </w:num>
  <w:num w:numId="18">
    <w:abstractNumId w:val="16"/>
  </w:num>
  <w:num w:numId="19">
    <w:abstractNumId w:val="9"/>
  </w:num>
  <w:num w:numId="20">
    <w:abstractNumId w:val="47"/>
  </w:num>
  <w:num w:numId="21">
    <w:abstractNumId w:val="3"/>
  </w:num>
  <w:num w:numId="22">
    <w:abstractNumId w:val="27"/>
  </w:num>
  <w:num w:numId="23">
    <w:abstractNumId w:val="10"/>
  </w:num>
  <w:num w:numId="24">
    <w:abstractNumId w:val="43"/>
  </w:num>
  <w:num w:numId="25">
    <w:abstractNumId w:val="34"/>
  </w:num>
  <w:num w:numId="26">
    <w:abstractNumId w:val="21"/>
  </w:num>
  <w:num w:numId="27">
    <w:abstractNumId w:val="17"/>
  </w:num>
  <w:num w:numId="28">
    <w:abstractNumId w:val="20"/>
  </w:num>
  <w:num w:numId="29">
    <w:abstractNumId w:val="42"/>
  </w:num>
  <w:num w:numId="30">
    <w:abstractNumId w:val="14"/>
  </w:num>
  <w:num w:numId="31">
    <w:abstractNumId w:val="41"/>
  </w:num>
  <w:num w:numId="32">
    <w:abstractNumId w:val="23"/>
  </w:num>
  <w:num w:numId="33">
    <w:abstractNumId w:val="1"/>
  </w:num>
  <w:num w:numId="34">
    <w:abstractNumId w:val="12"/>
  </w:num>
  <w:num w:numId="35">
    <w:abstractNumId w:val="31"/>
  </w:num>
  <w:num w:numId="36">
    <w:abstractNumId w:val="46"/>
  </w:num>
  <w:num w:numId="37">
    <w:abstractNumId w:val="19"/>
  </w:num>
  <w:num w:numId="38">
    <w:abstractNumId w:val="6"/>
  </w:num>
  <w:num w:numId="39">
    <w:abstractNumId w:val="18"/>
  </w:num>
  <w:num w:numId="40">
    <w:abstractNumId w:val="22"/>
  </w:num>
  <w:num w:numId="41">
    <w:abstractNumId w:val="13"/>
  </w:num>
  <w:num w:numId="42">
    <w:abstractNumId w:val="7"/>
  </w:num>
  <w:num w:numId="43">
    <w:abstractNumId w:val="0"/>
  </w:num>
  <w:num w:numId="44">
    <w:abstractNumId w:val="35"/>
  </w:num>
  <w:num w:numId="45">
    <w:abstractNumId w:val="45"/>
  </w:num>
  <w:num w:numId="46">
    <w:abstractNumId w:val="29"/>
  </w:num>
  <w:num w:numId="47">
    <w:abstractNumId w:val="11"/>
  </w:num>
  <w:num w:numId="48">
    <w:abstractNumId w:val="38"/>
  </w:num>
  <w:num w:numId="49">
    <w:abstractNumId w:val="25"/>
  </w:num>
  <w:num w:numId="50">
    <w:abstractNumId w:val="3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cs-CZ" w:vendorID="7" w:dllVersion="514" w:checkStyle="1"/>
  <w:proofState w:spelling="clean" w:grammar="clean"/>
  <w:stylePaneFormatFilter w:val="3F01"/>
  <w:trackRevisions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307E3"/>
    <w:rsid w:val="00001FC9"/>
    <w:rsid w:val="000130A5"/>
    <w:rsid w:val="000158A2"/>
    <w:rsid w:val="00021222"/>
    <w:rsid w:val="00024C3C"/>
    <w:rsid w:val="000307E3"/>
    <w:rsid w:val="00041780"/>
    <w:rsid w:val="00041CF1"/>
    <w:rsid w:val="000478AA"/>
    <w:rsid w:val="00051CED"/>
    <w:rsid w:val="0005341E"/>
    <w:rsid w:val="0005673C"/>
    <w:rsid w:val="00061314"/>
    <w:rsid w:val="00077059"/>
    <w:rsid w:val="0007752A"/>
    <w:rsid w:val="00086E7C"/>
    <w:rsid w:val="00090DC3"/>
    <w:rsid w:val="00091340"/>
    <w:rsid w:val="000B1F45"/>
    <w:rsid w:val="000C0DE2"/>
    <w:rsid w:val="000C178A"/>
    <w:rsid w:val="000C2A69"/>
    <w:rsid w:val="000C30C6"/>
    <w:rsid w:val="000C5B38"/>
    <w:rsid w:val="000D262E"/>
    <w:rsid w:val="000D51B0"/>
    <w:rsid w:val="000E0292"/>
    <w:rsid w:val="000E130B"/>
    <w:rsid w:val="000F1095"/>
    <w:rsid w:val="00103D90"/>
    <w:rsid w:val="0011080C"/>
    <w:rsid w:val="00110C09"/>
    <w:rsid w:val="00111D79"/>
    <w:rsid w:val="00120C2F"/>
    <w:rsid w:val="00123026"/>
    <w:rsid w:val="00123BDB"/>
    <w:rsid w:val="00124072"/>
    <w:rsid w:val="00135785"/>
    <w:rsid w:val="00144169"/>
    <w:rsid w:val="001517DA"/>
    <w:rsid w:val="00151902"/>
    <w:rsid w:val="00151A3A"/>
    <w:rsid w:val="001548FF"/>
    <w:rsid w:val="00166745"/>
    <w:rsid w:val="00172995"/>
    <w:rsid w:val="00184B25"/>
    <w:rsid w:val="001855CF"/>
    <w:rsid w:val="00186B7A"/>
    <w:rsid w:val="00187E0C"/>
    <w:rsid w:val="0019135A"/>
    <w:rsid w:val="0019351F"/>
    <w:rsid w:val="0019572D"/>
    <w:rsid w:val="001A3B3F"/>
    <w:rsid w:val="001C01EF"/>
    <w:rsid w:val="001C0B61"/>
    <w:rsid w:val="001C12DF"/>
    <w:rsid w:val="001C23B5"/>
    <w:rsid w:val="001C6F56"/>
    <w:rsid w:val="001C7193"/>
    <w:rsid w:val="001D160A"/>
    <w:rsid w:val="001D27C7"/>
    <w:rsid w:val="001D2F82"/>
    <w:rsid w:val="001E465C"/>
    <w:rsid w:val="001F0892"/>
    <w:rsid w:val="001F1CB8"/>
    <w:rsid w:val="001F2438"/>
    <w:rsid w:val="001F2B79"/>
    <w:rsid w:val="002002B0"/>
    <w:rsid w:val="0020108F"/>
    <w:rsid w:val="00202E48"/>
    <w:rsid w:val="00203786"/>
    <w:rsid w:val="002068D7"/>
    <w:rsid w:val="00207F02"/>
    <w:rsid w:val="00212360"/>
    <w:rsid w:val="0021745B"/>
    <w:rsid w:val="0022010A"/>
    <w:rsid w:val="00224D2D"/>
    <w:rsid w:val="00227FE2"/>
    <w:rsid w:val="002300BE"/>
    <w:rsid w:val="00230A07"/>
    <w:rsid w:val="00233A89"/>
    <w:rsid w:val="00235E1F"/>
    <w:rsid w:val="00240E2C"/>
    <w:rsid w:val="002410A3"/>
    <w:rsid w:val="00244D76"/>
    <w:rsid w:val="00247794"/>
    <w:rsid w:val="00254CFB"/>
    <w:rsid w:val="002552A2"/>
    <w:rsid w:val="00256701"/>
    <w:rsid w:val="00256EB9"/>
    <w:rsid w:val="0025720D"/>
    <w:rsid w:val="00260175"/>
    <w:rsid w:val="0026230E"/>
    <w:rsid w:val="00262E6B"/>
    <w:rsid w:val="00270F6F"/>
    <w:rsid w:val="00272CCC"/>
    <w:rsid w:val="00273C5B"/>
    <w:rsid w:val="00281309"/>
    <w:rsid w:val="00294F03"/>
    <w:rsid w:val="00295754"/>
    <w:rsid w:val="002964B2"/>
    <w:rsid w:val="00296AD7"/>
    <w:rsid w:val="00297F36"/>
    <w:rsid w:val="002A20D8"/>
    <w:rsid w:val="002A6E0F"/>
    <w:rsid w:val="002A73F7"/>
    <w:rsid w:val="002B0C86"/>
    <w:rsid w:val="002B2218"/>
    <w:rsid w:val="002B411D"/>
    <w:rsid w:val="002B4148"/>
    <w:rsid w:val="002B7F35"/>
    <w:rsid w:val="002C09E3"/>
    <w:rsid w:val="002C5031"/>
    <w:rsid w:val="002D0A9C"/>
    <w:rsid w:val="002D66F2"/>
    <w:rsid w:val="002E0014"/>
    <w:rsid w:val="002E15B6"/>
    <w:rsid w:val="002F57AB"/>
    <w:rsid w:val="00305152"/>
    <w:rsid w:val="003133DA"/>
    <w:rsid w:val="00314DCC"/>
    <w:rsid w:val="003165CE"/>
    <w:rsid w:val="003266CC"/>
    <w:rsid w:val="00327E49"/>
    <w:rsid w:val="00330354"/>
    <w:rsid w:val="00330DD9"/>
    <w:rsid w:val="00332148"/>
    <w:rsid w:val="0033659A"/>
    <w:rsid w:val="00345D5E"/>
    <w:rsid w:val="00350FCE"/>
    <w:rsid w:val="003548EF"/>
    <w:rsid w:val="00372782"/>
    <w:rsid w:val="003767FA"/>
    <w:rsid w:val="00376C19"/>
    <w:rsid w:val="003801B2"/>
    <w:rsid w:val="0038406B"/>
    <w:rsid w:val="0038488E"/>
    <w:rsid w:val="00384FF0"/>
    <w:rsid w:val="00385804"/>
    <w:rsid w:val="003861E3"/>
    <w:rsid w:val="003901F7"/>
    <w:rsid w:val="00391EBC"/>
    <w:rsid w:val="0039200F"/>
    <w:rsid w:val="003936E1"/>
    <w:rsid w:val="0039664E"/>
    <w:rsid w:val="003A4CF8"/>
    <w:rsid w:val="003B1AB9"/>
    <w:rsid w:val="003B5CBF"/>
    <w:rsid w:val="003C7B38"/>
    <w:rsid w:val="003D1E5F"/>
    <w:rsid w:val="003D5717"/>
    <w:rsid w:val="003D6E5F"/>
    <w:rsid w:val="003E04A9"/>
    <w:rsid w:val="003E7315"/>
    <w:rsid w:val="003F395A"/>
    <w:rsid w:val="003F5186"/>
    <w:rsid w:val="00412DF0"/>
    <w:rsid w:val="0041431D"/>
    <w:rsid w:val="0041454D"/>
    <w:rsid w:val="00421C75"/>
    <w:rsid w:val="00424B1B"/>
    <w:rsid w:val="0042695E"/>
    <w:rsid w:val="004278BB"/>
    <w:rsid w:val="00431934"/>
    <w:rsid w:val="0043555B"/>
    <w:rsid w:val="00437226"/>
    <w:rsid w:val="00442C8E"/>
    <w:rsid w:val="004453DD"/>
    <w:rsid w:val="00450EDF"/>
    <w:rsid w:val="00452689"/>
    <w:rsid w:val="004635A6"/>
    <w:rsid w:val="00465A53"/>
    <w:rsid w:val="00466A87"/>
    <w:rsid w:val="00475FF9"/>
    <w:rsid w:val="0048331B"/>
    <w:rsid w:val="00496E9A"/>
    <w:rsid w:val="0049710C"/>
    <w:rsid w:val="004A15E2"/>
    <w:rsid w:val="004B07CA"/>
    <w:rsid w:val="004B541E"/>
    <w:rsid w:val="004B7B93"/>
    <w:rsid w:val="004C73C0"/>
    <w:rsid w:val="004D541D"/>
    <w:rsid w:val="00501E2F"/>
    <w:rsid w:val="00502534"/>
    <w:rsid w:val="0051742E"/>
    <w:rsid w:val="00517735"/>
    <w:rsid w:val="00517C52"/>
    <w:rsid w:val="0052760C"/>
    <w:rsid w:val="00530170"/>
    <w:rsid w:val="0053035B"/>
    <w:rsid w:val="005351E1"/>
    <w:rsid w:val="005361A0"/>
    <w:rsid w:val="00537A7C"/>
    <w:rsid w:val="00540716"/>
    <w:rsid w:val="00541C4E"/>
    <w:rsid w:val="00543447"/>
    <w:rsid w:val="00544404"/>
    <w:rsid w:val="005476B8"/>
    <w:rsid w:val="00547ADF"/>
    <w:rsid w:val="005504E7"/>
    <w:rsid w:val="00552414"/>
    <w:rsid w:val="00552AB2"/>
    <w:rsid w:val="00553F00"/>
    <w:rsid w:val="00560FCF"/>
    <w:rsid w:val="00561760"/>
    <w:rsid w:val="00563AA4"/>
    <w:rsid w:val="00567379"/>
    <w:rsid w:val="00571CEC"/>
    <w:rsid w:val="00573729"/>
    <w:rsid w:val="00576171"/>
    <w:rsid w:val="00580D2E"/>
    <w:rsid w:val="00582156"/>
    <w:rsid w:val="0058267E"/>
    <w:rsid w:val="005A5152"/>
    <w:rsid w:val="005B1343"/>
    <w:rsid w:val="005B3458"/>
    <w:rsid w:val="005C465F"/>
    <w:rsid w:val="005C7414"/>
    <w:rsid w:val="005D0083"/>
    <w:rsid w:val="005D1368"/>
    <w:rsid w:val="005D397C"/>
    <w:rsid w:val="005E40B1"/>
    <w:rsid w:val="005E40B6"/>
    <w:rsid w:val="005F22D3"/>
    <w:rsid w:val="00605A95"/>
    <w:rsid w:val="00605D46"/>
    <w:rsid w:val="00617814"/>
    <w:rsid w:val="00624F5A"/>
    <w:rsid w:val="0063052B"/>
    <w:rsid w:val="0063205C"/>
    <w:rsid w:val="006323BB"/>
    <w:rsid w:val="006415DC"/>
    <w:rsid w:val="00642146"/>
    <w:rsid w:val="0065090A"/>
    <w:rsid w:val="006535A7"/>
    <w:rsid w:val="00655F33"/>
    <w:rsid w:val="006618A3"/>
    <w:rsid w:val="00661A8D"/>
    <w:rsid w:val="0066402C"/>
    <w:rsid w:val="0068432C"/>
    <w:rsid w:val="006932BF"/>
    <w:rsid w:val="00693507"/>
    <w:rsid w:val="00693F40"/>
    <w:rsid w:val="006A0345"/>
    <w:rsid w:val="006A5E78"/>
    <w:rsid w:val="006A6D31"/>
    <w:rsid w:val="006A7EB3"/>
    <w:rsid w:val="006B0F75"/>
    <w:rsid w:val="006B10AC"/>
    <w:rsid w:val="006B3368"/>
    <w:rsid w:val="006C7FF7"/>
    <w:rsid w:val="006D1C5F"/>
    <w:rsid w:val="006D1E3A"/>
    <w:rsid w:val="006D3DD1"/>
    <w:rsid w:val="006D4D74"/>
    <w:rsid w:val="006D7A3F"/>
    <w:rsid w:val="006E0917"/>
    <w:rsid w:val="006E4D82"/>
    <w:rsid w:val="006E535A"/>
    <w:rsid w:val="006F23C2"/>
    <w:rsid w:val="006F7BEB"/>
    <w:rsid w:val="00700D28"/>
    <w:rsid w:val="00705FF9"/>
    <w:rsid w:val="00710EF8"/>
    <w:rsid w:val="0071409C"/>
    <w:rsid w:val="00717CCF"/>
    <w:rsid w:val="00722CD7"/>
    <w:rsid w:val="007235BB"/>
    <w:rsid w:val="00723B73"/>
    <w:rsid w:val="00730182"/>
    <w:rsid w:val="00735D4F"/>
    <w:rsid w:val="00737120"/>
    <w:rsid w:val="00737284"/>
    <w:rsid w:val="00744580"/>
    <w:rsid w:val="00750E50"/>
    <w:rsid w:val="00751C0A"/>
    <w:rsid w:val="00753D33"/>
    <w:rsid w:val="007546E3"/>
    <w:rsid w:val="007550A0"/>
    <w:rsid w:val="007565CE"/>
    <w:rsid w:val="00762C58"/>
    <w:rsid w:val="00763C94"/>
    <w:rsid w:val="00765CCA"/>
    <w:rsid w:val="00770AE9"/>
    <w:rsid w:val="00773881"/>
    <w:rsid w:val="007755BE"/>
    <w:rsid w:val="00781EF9"/>
    <w:rsid w:val="00781FF3"/>
    <w:rsid w:val="00782128"/>
    <w:rsid w:val="00783D3E"/>
    <w:rsid w:val="00784A00"/>
    <w:rsid w:val="00790BEE"/>
    <w:rsid w:val="007A2749"/>
    <w:rsid w:val="007B01DE"/>
    <w:rsid w:val="007C0B41"/>
    <w:rsid w:val="007C0E28"/>
    <w:rsid w:val="007C1988"/>
    <w:rsid w:val="007C2075"/>
    <w:rsid w:val="007C3D8A"/>
    <w:rsid w:val="007C73C7"/>
    <w:rsid w:val="007D448F"/>
    <w:rsid w:val="007D7AB5"/>
    <w:rsid w:val="007E185D"/>
    <w:rsid w:val="007F01F0"/>
    <w:rsid w:val="007F0C12"/>
    <w:rsid w:val="007F1B14"/>
    <w:rsid w:val="007F2B4E"/>
    <w:rsid w:val="007F2CB3"/>
    <w:rsid w:val="007F634C"/>
    <w:rsid w:val="008000EB"/>
    <w:rsid w:val="0080260A"/>
    <w:rsid w:val="00812B77"/>
    <w:rsid w:val="008157A4"/>
    <w:rsid w:val="008165E1"/>
    <w:rsid w:val="008265C2"/>
    <w:rsid w:val="00831C30"/>
    <w:rsid w:val="008360F2"/>
    <w:rsid w:val="008370A6"/>
    <w:rsid w:val="00837AC1"/>
    <w:rsid w:val="008421EF"/>
    <w:rsid w:val="008443AB"/>
    <w:rsid w:val="00853EA9"/>
    <w:rsid w:val="00860666"/>
    <w:rsid w:val="00864F32"/>
    <w:rsid w:val="0087317A"/>
    <w:rsid w:val="00873BE6"/>
    <w:rsid w:val="00876BF1"/>
    <w:rsid w:val="00877DBE"/>
    <w:rsid w:val="00880B75"/>
    <w:rsid w:val="00887FDD"/>
    <w:rsid w:val="00891BBD"/>
    <w:rsid w:val="00892EA8"/>
    <w:rsid w:val="00894BFB"/>
    <w:rsid w:val="008A1735"/>
    <w:rsid w:val="008A1EE3"/>
    <w:rsid w:val="008A3D27"/>
    <w:rsid w:val="008A6CD8"/>
    <w:rsid w:val="008A6D74"/>
    <w:rsid w:val="008B08CE"/>
    <w:rsid w:val="008B1848"/>
    <w:rsid w:val="008B6E31"/>
    <w:rsid w:val="008C66DF"/>
    <w:rsid w:val="008D3C6F"/>
    <w:rsid w:val="008F0653"/>
    <w:rsid w:val="008F3363"/>
    <w:rsid w:val="00900E88"/>
    <w:rsid w:val="00903EA5"/>
    <w:rsid w:val="00913F7A"/>
    <w:rsid w:val="00917449"/>
    <w:rsid w:val="009211EE"/>
    <w:rsid w:val="00935AA6"/>
    <w:rsid w:val="009521AD"/>
    <w:rsid w:val="00954C05"/>
    <w:rsid w:val="0095581F"/>
    <w:rsid w:val="0095654B"/>
    <w:rsid w:val="009A2639"/>
    <w:rsid w:val="009A795F"/>
    <w:rsid w:val="009C57A4"/>
    <w:rsid w:val="009C61D0"/>
    <w:rsid w:val="009D2C16"/>
    <w:rsid w:val="009E1CB3"/>
    <w:rsid w:val="009F4FD2"/>
    <w:rsid w:val="009F7B50"/>
    <w:rsid w:val="00A0733B"/>
    <w:rsid w:val="00A173F9"/>
    <w:rsid w:val="00A25F39"/>
    <w:rsid w:val="00A311FB"/>
    <w:rsid w:val="00A31535"/>
    <w:rsid w:val="00A325B9"/>
    <w:rsid w:val="00A40248"/>
    <w:rsid w:val="00A4677E"/>
    <w:rsid w:val="00A5049C"/>
    <w:rsid w:val="00A52688"/>
    <w:rsid w:val="00A530CA"/>
    <w:rsid w:val="00A547CD"/>
    <w:rsid w:val="00A62D25"/>
    <w:rsid w:val="00A64954"/>
    <w:rsid w:val="00A7084D"/>
    <w:rsid w:val="00A74D5D"/>
    <w:rsid w:val="00A767E3"/>
    <w:rsid w:val="00AA0105"/>
    <w:rsid w:val="00AB3B1B"/>
    <w:rsid w:val="00AC0DF0"/>
    <w:rsid w:val="00AC1425"/>
    <w:rsid w:val="00AC1CF9"/>
    <w:rsid w:val="00AC48D8"/>
    <w:rsid w:val="00AD01F0"/>
    <w:rsid w:val="00AD2164"/>
    <w:rsid w:val="00AD61B0"/>
    <w:rsid w:val="00AE194A"/>
    <w:rsid w:val="00AE35CD"/>
    <w:rsid w:val="00AE4305"/>
    <w:rsid w:val="00AF227C"/>
    <w:rsid w:val="00AF3E11"/>
    <w:rsid w:val="00AF5EE5"/>
    <w:rsid w:val="00B05153"/>
    <w:rsid w:val="00B2106B"/>
    <w:rsid w:val="00B246FC"/>
    <w:rsid w:val="00B325F0"/>
    <w:rsid w:val="00B33329"/>
    <w:rsid w:val="00B3338E"/>
    <w:rsid w:val="00B33511"/>
    <w:rsid w:val="00B34DE4"/>
    <w:rsid w:val="00B3513A"/>
    <w:rsid w:val="00B415B2"/>
    <w:rsid w:val="00B416EF"/>
    <w:rsid w:val="00B4293F"/>
    <w:rsid w:val="00B44D56"/>
    <w:rsid w:val="00B45B9D"/>
    <w:rsid w:val="00B45DBA"/>
    <w:rsid w:val="00B5695F"/>
    <w:rsid w:val="00B659FF"/>
    <w:rsid w:val="00B66100"/>
    <w:rsid w:val="00B704FD"/>
    <w:rsid w:val="00B754A7"/>
    <w:rsid w:val="00B82253"/>
    <w:rsid w:val="00B82E76"/>
    <w:rsid w:val="00B93058"/>
    <w:rsid w:val="00B9383B"/>
    <w:rsid w:val="00B96358"/>
    <w:rsid w:val="00BA04FC"/>
    <w:rsid w:val="00BA54F2"/>
    <w:rsid w:val="00BB1A57"/>
    <w:rsid w:val="00BB2A01"/>
    <w:rsid w:val="00BB382E"/>
    <w:rsid w:val="00BB6E0D"/>
    <w:rsid w:val="00BB7CA0"/>
    <w:rsid w:val="00BC0323"/>
    <w:rsid w:val="00BC0759"/>
    <w:rsid w:val="00BC76C5"/>
    <w:rsid w:val="00BD3F8D"/>
    <w:rsid w:val="00BD64E0"/>
    <w:rsid w:val="00BD7447"/>
    <w:rsid w:val="00BD79A9"/>
    <w:rsid w:val="00BF2A91"/>
    <w:rsid w:val="00C04192"/>
    <w:rsid w:val="00C0442C"/>
    <w:rsid w:val="00C06831"/>
    <w:rsid w:val="00C15C0C"/>
    <w:rsid w:val="00C23298"/>
    <w:rsid w:val="00C26E22"/>
    <w:rsid w:val="00C32955"/>
    <w:rsid w:val="00C34812"/>
    <w:rsid w:val="00C4083E"/>
    <w:rsid w:val="00C41269"/>
    <w:rsid w:val="00C42F41"/>
    <w:rsid w:val="00C44506"/>
    <w:rsid w:val="00C511FA"/>
    <w:rsid w:val="00C51726"/>
    <w:rsid w:val="00C54EA7"/>
    <w:rsid w:val="00C70DB9"/>
    <w:rsid w:val="00C80320"/>
    <w:rsid w:val="00C80B27"/>
    <w:rsid w:val="00CA1DAA"/>
    <w:rsid w:val="00CC0186"/>
    <w:rsid w:val="00CC1995"/>
    <w:rsid w:val="00CC1EAF"/>
    <w:rsid w:val="00CC734F"/>
    <w:rsid w:val="00CD31A8"/>
    <w:rsid w:val="00CE3938"/>
    <w:rsid w:val="00CE4368"/>
    <w:rsid w:val="00CF33D1"/>
    <w:rsid w:val="00CF40AD"/>
    <w:rsid w:val="00CF58A3"/>
    <w:rsid w:val="00D060A8"/>
    <w:rsid w:val="00D06AE5"/>
    <w:rsid w:val="00D0788C"/>
    <w:rsid w:val="00D22F1F"/>
    <w:rsid w:val="00D2505B"/>
    <w:rsid w:val="00D277BB"/>
    <w:rsid w:val="00D36243"/>
    <w:rsid w:val="00D41560"/>
    <w:rsid w:val="00D4605A"/>
    <w:rsid w:val="00D54E13"/>
    <w:rsid w:val="00D55564"/>
    <w:rsid w:val="00D56827"/>
    <w:rsid w:val="00D60867"/>
    <w:rsid w:val="00D61FB4"/>
    <w:rsid w:val="00D63266"/>
    <w:rsid w:val="00D70959"/>
    <w:rsid w:val="00D71F33"/>
    <w:rsid w:val="00D7203A"/>
    <w:rsid w:val="00D72221"/>
    <w:rsid w:val="00D75457"/>
    <w:rsid w:val="00D938EB"/>
    <w:rsid w:val="00D93E50"/>
    <w:rsid w:val="00D97592"/>
    <w:rsid w:val="00D97715"/>
    <w:rsid w:val="00DA2516"/>
    <w:rsid w:val="00DA60A4"/>
    <w:rsid w:val="00DA6349"/>
    <w:rsid w:val="00DB47F0"/>
    <w:rsid w:val="00DB557C"/>
    <w:rsid w:val="00DB68D3"/>
    <w:rsid w:val="00DC1AE9"/>
    <w:rsid w:val="00DC4A5F"/>
    <w:rsid w:val="00DC5D0D"/>
    <w:rsid w:val="00DD02C0"/>
    <w:rsid w:val="00DD1F4F"/>
    <w:rsid w:val="00DD3E55"/>
    <w:rsid w:val="00DD441B"/>
    <w:rsid w:val="00DD726F"/>
    <w:rsid w:val="00DE05BC"/>
    <w:rsid w:val="00DE0B88"/>
    <w:rsid w:val="00DE2FB1"/>
    <w:rsid w:val="00DE6F2E"/>
    <w:rsid w:val="00DF41E1"/>
    <w:rsid w:val="00DF4631"/>
    <w:rsid w:val="00DF693C"/>
    <w:rsid w:val="00DF6D73"/>
    <w:rsid w:val="00DF7553"/>
    <w:rsid w:val="00E03A7E"/>
    <w:rsid w:val="00E17C11"/>
    <w:rsid w:val="00E20007"/>
    <w:rsid w:val="00E216C2"/>
    <w:rsid w:val="00E21D2C"/>
    <w:rsid w:val="00E23DD3"/>
    <w:rsid w:val="00E31FA9"/>
    <w:rsid w:val="00E42258"/>
    <w:rsid w:val="00E479BF"/>
    <w:rsid w:val="00E72579"/>
    <w:rsid w:val="00E76921"/>
    <w:rsid w:val="00E77466"/>
    <w:rsid w:val="00E80E59"/>
    <w:rsid w:val="00E86A45"/>
    <w:rsid w:val="00E86DA4"/>
    <w:rsid w:val="00E877F9"/>
    <w:rsid w:val="00E879F3"/>
    <w:rsid w:val="00E92D8C"/>
    <w:rsid w:val="00EB60EB"/>
    <w:rsid w:val="00EB69D3"/>
    <w:rsid w:val="00EC0761"/>
    <w:rsid w:val="00ED3D61"/>
    <w:rsid w:val="00ED3F77"/>
    <w:rsid w:val="00EE2404"/>
    <w:rsid w:val="00EF1A09"/>
    <w:rsid w:val="00EF43FE"/>
    <w:rsid w:val="00EF4F11"/>
    <w:rsid w:val="00EF5190"/>
    <w:rsid w:val="00EF5987"/>
    <w:rsid w:val="00EF6C45"/>
    <w:rsid w:val="00F0126D"/>
    <w:rsid w:val="00F02359"/>
    <w:rsid w:val="00F063BA"/>
    <w:rsid w:val="00F108C2"/>
    <w:rsid w:val="00F15A98"/>
    <w:rsid w:val="00F22AA1"/>
    <w:rsid w:val="00F24C2A"/>
    <w:rsid w:val="00F31F6A"/>
    <w:rsid w:val="00F3246B"/>
    <w:rsid w:val="00F32708"/>
    <w:rsid w:val="00F33F46"/>
    <w:rsid w:val="00F421C9"/>
    <w:rsid w:val="00F449E9"/>
    <w:rsid w:val="00F51D8C"/>
    <w:rsid w:val="00F53062"/>
    <w:rsid w:val="00F53428"/>
    <w:rsid w:val="00F5345F"/>
    <w:rsid w:val="00F60589"/>
    <w:rsid w:val="00F61E44"/>
    <w:rsid w:val="00F663B9"/>
    <w:rsid w:val="00F669CC"/>
    <w:rsid w:val="00F70BB8"/>
    <w:rsid w:val="00F70C3D"/>
    <w:rsid w:val="00F747AE"/>
    <w:rsid w:val="00F76D9E"/>
    <w:rsid w:val="00F774A6"/>
    <w:rsid w:val="00F9028F"/>
    <w:rsid w:val="00F91D39"/>
    <w:rsid w:val="00F94967"/>
    <w:rsid w:val="00F96A55"/>
    <w:rsid w:val="00FA1B0A"/>
    <w:rsid w:val="00FA32C2"/>
    <w:rsid w:val="00FA6BDD"/>
    <w:rsid w:val="00FB349C"/>
    <w:rsid w:val="00FB6689"/>
    <w:rsid w:val="00FC0227"/>
    <w:rsid w:val="00FC0DB0"/>
    <w:rsid w:val="00FC18CA"/>
    <w:rsid w:val="00FC2AAE"/>
    <w:rsid w:val="00FC4A35"/>
    <w:rsid w:val="00FC5554"/>
    <w:rsid w:val="00FC5B09"/>
    <w:rsid w:val="00FD5780"/>
    <w:rsid w:val="00FD78B2"/>
    <w:rsid w:val="00FF5BA5"/>
    <w:rsid w:val="00FF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266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styleId="Nadpis1">
    <w:name w:val="heading 1"/>
    <w:basedOn w:val="Normln"/>
    <w:next w:val="Normln"/>
    <w:qFormat/>
    <w:rsid w:val="00530170"/>
    <w:pPr>
      <w:spacing w:before="12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51A3A"/>
    <w:pPr>
      <w:spacing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0170"/>
    <w:p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E23DD3"/>
    <w:pPr>
      <w:ind w:left="708"/>
    </w:pPr>
  </w:style>
  <w:style w:type="paragraph" w:styleId="Zhlav">
    <w:name w:val="header"/>
    <w:basedOn w:val="Normln"/>
    <w:rsid w:val="000212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21222"/>
    <w:pPr>
      <w:tabs>
        <w:tab w:val="center" w:pos="4536"/>
        <w:tab w:val="right" w:pos="9072"/>
      </w:tabs>
    </w:pPr>
  </w:style>
  <w:style w:type="paragraph" w:customStyle="1" w:styleId="kbDocumentnameextrenal">
    <w:name w:val="kb_Document_name_extrenal"/>
    <w:basedOn w:val="Normln"/>
    <w:rsid w:val="00021222"/>
    <w:pPr>
      <w:shd w:val="pct37" w:color="auto" w:fill="auto"/>
      <w:tabs>
        <w:tab w:val="right" w:pos="6167"/>
      </w:tabs>
      <w:spacing w:before="560"/>
    </w:pPr>
    <w:rPr>
      <w:b/>
      <w:bCs/>
      <w:color w:val="FFFFFF"/>
      <w:sz w:val="27"/>
      <w:szCs w:val="27"/>
    </w:rPr>
  </w:style>
  <w:style w:type="paragraph" w:customStyle="1" w:styleId="NadpisI">
    <w:name w:val="Nadpis I."/>
    <w:basedOn w:val="Normln"/>
    <w:rsid w:val="00021222"/>
    <w:pPr>
      <w:numPr>
        <w:ilvl w:val="1"/>
        <w:numId w:val="1"/>
      </w:numPr>
      <w:jc w:val="center"/>
    </w:pPr>
    <w:rPr>
      <w:b/>
      <w:sz w:val="18"/>
      <w:szCs w:val="18"/>
    </w:rPr>
  </w:style>
  <w:style w:type="paragraph" w:customStyle="1" w:styleId="1Normlnodsazen">
    <w:name w:val="1. Normální odsazený"/>
    <w:basedOn w:val="Normlnodsazen"/>
    <w:rsid w:val="002552A2"/>
    <w:pPr>
      <w:widowControl w:val="0"/>
      <w:numPr>
        <w:numId w:val="4"/>
      </w:numPr>
      <w:spacing w:before="120" w:after="120"/>
      <w:jc w:val="both"/>
    </w:pPr>
    <w:rPr>
      <w:sz w:val="18"/>
      <w:szCs w:val="18"/>
    </w:rPr>
  </w:style>
  <w:style w:type="paragraph" w:styleId="Textbubliny">
    <w:name w:val="Balloon Text"/>
    <w:basedOn w:val="Normln"/>
    <w:semiHidden/>
    <w:rsid w:val="00FC5554"/>
    <w:rPr>
      <w:rFonts w:ascii="Tahoma" w:hAnsi="Tahoma" w:cs="Tahoma"/>
      <w:sz w:val="16"/>
      <w:szCs w:val="16"/>
    </w:rPr>
  </w:style>
  <w:style w:type="paragraph" w:customStyle="1" w:styleId="kbFixedtext">
    <w:name w:val="kb_Fixed_text"/>
    <w:basedOn w:val="Normln"/>
    <w:rsid w:val="001F2B79"/>
    <w:pPr>
      <w:spacing w:before="40"/>
      <w:jc w:val="both"/>
    </w:pPr>
    <w:rPr>
      <w:rFonts w:cs="Times New Roman"/>
      <w:sz w:val="16"/>
    </w:rPr>
  </w:style>
  <w:style w:type="paragraph" w:customStyle="1" w:styleId="kbRegistration">
    <w:name w:val="kb_Registration"/>
    <w:basedOn w:val="Normln"/>
    <w:rsid w:val="001F2B79"/>
    <w:pPr>
      <w:spacing w:before="40"/>
      <w:jc w:val="both"/>
    </w:pPr>
    <w:rPr>
      <w:rFonts w:cs="Times New Roman"/>
      <w:caps/>
      <w:sz w:val="8"/>
    </w:rPr>
  </w:style>
  <w:style w:type="paragraph" w:customStyle="1" w:styleId="Registration">
    <w:name w:val="Registration"/>
    <w:basedOn w:val="Normln"/>
    <w:rsid w:val="001F2B79"/>
    <w:pPr>
      <w:spacing w:before="40"/>
      <w:jc w:val="both"/>
    </w:pPr>
    <w:rPr>
      <w:rFonts w:cs="Times New Roman"/>
      <w:caps/>
      <w:sz w:val="8"/>
    </w:rPr>
  </w:style>
  <w:style w:type="character" w:styleId="Odkaznakoment">
    <w:name w:val="annotation reference"/>
    <w:basedOn w:val="Standardnpsmoodstavce"/>
    <w:semiHidden/>
    <w:rsid w:val="0065090A"/>
    <w:rPr>
      <w:sz w:val="16"/>
      <w:szCs w:val="16"/>
    </w:rPr>
  </w:style>
  <w:style w:type="paragraph" w:styleId="Textkomente">
    <w:name w:val="annotation text"/>
    <w:basedOn w:val="Normln"/>
    <w:semiHidden/>
    <w:rsid w:val="0065090A"/>
  </w:style>
  <w:style w:type="paragraph" w:styleId="Pedmtkomente">
    <w:name w:val="annotation subject"/>
    <w:basedOn w:val="Textkomente"/>
    <w:next w:val="Textkomente"/>
    <w:semiHidden/>
    <w:rsid w:val="0065090A"/>
    <w:rPr>
      <w:b/>
      <w:bCs/>
    </w:rPr>
  </w:style>
  <w:style w:type="character" w:customStyle="1" w:styleId="ARIAL9B">
    <w:name w:val="ARIAL9B"/>
    <w:basedOn w:val="Standardnpsmoodstavce"/>
    <w:rsid w:val="00BA04FC"/>
    <w:rPr>
      <w:rFonts w:ascii="Arial" w:hAnsi="Arial" w:cs="Arial"/>
      <w:sz w:val="18"/>
      <w:szCs w:val="18"/>
      <w:u w:val="none"/>
      <w:lang w:val="cs-CZ" w:eastAsia="en-US" w:bidi="ar-SA"/>
    </w:rPr>
  </w:style>
  <w:style w:type="character" w:customStyle="1" w:styleId="StylTun">
    <w:name w:val="Styl Tučné"/>
    <w:basedOn w:val="Standardnpsmoodstavce"/>
    <w:rsid w:val="00BA04FC"/>
    <w:rPr>
      <w:rFonts w:ascii="Arial" w:eastAsia="SimSun" w:hAnsi="Arial" w:cs="Arial"/>
      <w:b/>
      <w:bCs/>
      <w:sz w:val="18"/>
      <w:szCs w:val="18"/>
      <w:lang w:val="cs-CZ" w:eastAsia="en-US" w:bidi="ar-SA"/>
    </w:rPr>
  </w:style>
  <w:style w:type="paragraph" w:customStyle="1" w:styleId="Body1">
    <w:name w:val="Body1"/>
    <w:basedOn w:val="Normln"/>
    <w:rsid w:val="00BA04FC"/>
    <w:pPr>
      <w:overflowPunct/>
      <w:autoSpaceDE/>
      <w:autoSpaceDN/>
      <w:adjustRightInd/>
      <w:spacing w:after="240"/>
      <w:ind w:left="567"/>
      <w:jc w:val="both"/>
      <w:textAlignment w:val="auto"/>
    </w:pPr>
    <w:rPr>
      <w:rFonts w:eastAsia="SimSun" w:cs="Times New Roman"/>
      <w:lang w:val="en-GB" w:eastAsia="zh-CN"/>
    </w:rPr>
  </w:style>
  <w:style w:type="paragraph" w:customStyle="1" w:styleId="Styl5">
    <w:name w:val="Styl5"/>
    <w:basedOn w:val="Normln"/>
    <w:rsid w:val="00BA04FC"/>
    <w:pPr>
      <w:keepNext/>
      <w:overflowPunct/>
      <w:autoSpaceDE/>
      <w:autoSpaceDN/>
      <w:adjustRightInd/>
      <w:spacing w:after="80"/>
      <w:jc w:val="both"/>
      <w:textAlignment w:val="auto"/>
    </w:pPr>
    <w:rPr>
      <w:rFonts w:eastAsia="SimSun"/>
      <w:szCs w:val="18"/>
      <w:lang w:val="en-GB" w:eastAsia="zh-CN"/>
    </w:rPr>
  </w:style>
  <w:style w:type="paragraph" w:customStyle="1" w:styleId="CharCharCharCharCharCharChar1CharCharCharChar">
    <w:name w:val="Char Char Char Char Char Char Char1 Char Char Char Char"/>
    <w:basedOn w:val="Normln"/>
    <w:rsid w:val="00BA04FC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 w:cs="Times New Roman"/>
      <w:sz w:val="18"/>
      <w:lang w:val="en-US" w:eastAsia="en-US"/>
    </w:rPr>
  </w:style>
  <w:style w:type="character" w:customStyle="1" w:styleId="ARIEL9">
    <w:name w:val="ARIEL9"/>
    <w:basedOn w:val="Standardnpsmoodstavce"/>
    <w:rsid w:val="00BA04FC"/>
    <w:rPr>
      <w:rFonts w:ascii="Arial" w:hAnsi="Arial" w:cs="Arial"/>
      <w:sz w:val="18"/>
      <w:szCs w:val="18"/>
    </w:rPr>
  </w:style>
  <w:style w:type="paragraph" w:styleId="Zkladntext">
    <w:name w:val="Body Text"/>
    <w:basedOn w:val="Normln"/>
    <w:rsid w:val="00F70C3D"/>
    <w:pPr>
      <w:overflowPunct/>
      <w:autoSpaceDE/>
      <w:autoSpaceDN/>
      <w:adjustRightInd/>
      <w:spacing w:after="240"/>
      <w:textAlignment w:val="auto"/>
    </w:pPr>
    <w:rPr>
      <w:rFonts w:ascii="Garamond MT" w:hAnsi="Garamond MT" w:cs="Times New Roman"/>
      <w:sz w:val="24"/>
      <w:szCs w:val="24"/>
      <w:lang w:val="en-GB" w:eastAsia="en-US"/>
    </w:rPr>
  </w:style>
  <w:style w:type="paragraph" w:customStyle="1" w:styleId="StandardnpsmoodstavceCharCharChar1Char">
    <w:name w:val="Standardní písmo odstavce Char Char Char1 Char"/>
    <w:aliases w:val=" Char Char Char1 Char Char Char Char"/>
    <w:basedOn w:val="Normln"/>
    <w:rsid w:val="001F1CB8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 w:cs="Times New Roman"/>
      <w:lang w:val="en-US" w:eastAsia="en-US"/>
    </w:rPr>
  </w:style>
  <w:style w:type="character" w:customStyle="1" w:styleId="9B-TUCNE">
    <w:name w:val="9B - TUCNE"/>
    <w:basedOn w:val="ARIAL9B"/>
    <w:rsid w:val="001F1CB8"/>
    <w:rPr>
      <w:b/>
    </w:rPr>
  </w:style>
  <w:style w:type="paragraph" w:customStyle="1" w:styleId="FORMAT-BLOK">
    <w:name w:val="FORMAT - BLOK"/>
    <w:aliases w:val="MEZERA"/>
    <w:basedOn w:val="Normln"/>
    <w:link w:val="FORMAT-BLOKMEZERAChar"/>
    <w:rsid w:val="001F1CB8"/>
    <w:pPr>
      <w:overflowPunct/>
      <w:autoSpaceDE/>
      <w:autoSpaceDN/>
      <w:adjustRightInd/>
      <w:spacing w:after="80"/>
      <w:jc w:val="both"/>
      <w:textAlignment w:val="auto"/>
    </w:pPr>
    <w:rPr>
      <w:sz w:val="18"/>
      <w:szCs w:val="18"/>
    </w:rPr>
  </w:style>
  <w:style w:type="character" w:customStyle="1" w:styleId="FORMAT-BLOKMEZERAChar">
    <w:name w:val="FORMAT - BLOK;MEZERA Char"/>
    <w:basedOn w:val="Standardnpsmoodstavce"/>
    <w:link w:val="FORMAT-BLOK"/>
    <w:rsid w:val="001F1CB8"/>
    <w:rPr>
      <w:rFonts w:ascii="Arial" w:hAnsi="Arial" w:cs="Arial"/>
      <w:sz w:val="18"/>
      <w:szCs w:val="18"/>
      <w:lang w:val="cs-CZ" w:eastAsia="cs-CZ" w:bidi="ar-SA"/>
    </w:rPr>
  </w:style>
  <w:style w:type="character" w:styleId="slostrnky">
    <w:name w:val="page number"/>
    <w:basedOn w:val="Standardnpsmoodstavce"/>
    <w:rsid w:val="002B4148"/>
    <w:rPr>
      <w:rFonts w:ascii="Arial" w:hAnsi="Arial"/>
      <w:sz w:val="16"/>
    </w:rPr>
  </w:style>
  <w:style w:type="paragraph" w:customStyle="1" w:styleId="Pokus1">
    <w:name w:val="Pokus 1"/>
    <w:basedOn w:val="Nadpis1"/>
    <w:rsid w:val="002B4148"/>
    <w:pPr>
      <w:numPr>
        <w:numId w:val="21"/>
      </w:numPr>
      <w:jc w:val="both"/>
    </w:pPr>
    <w:rPr>
      <w:rFonts w:eastAsia="SimSun" w:cs="Times New Roman"/>
      <w:sz w:val="18"/>
      <w:szCs w:val="18"/>
      <w:lang w:eastAsia="zh-CN"/>
    </w:rPr>
  </w:style>
  <w:style w:type="paragraph" w:customStyle="1" w:styleId="arialCharCharCharCharCharCharCharCharCharChar">
    <w:name w:val="arial Char Char Char Char Char Char Char Char Char Char"/>
    <w:basedOn w:val="Normln"/>
    <w:semiHidden/>
    <w:rsid w:val="0051742E"/>
    <w:pPr>
      <w:widowControl w:val="0"/>
      <w:overflowPunct/>
      <w:autoSpaceDE/>
      <w:autoSpaceDN/>
      <w:adjustRightInd/>
      <w:spacing w:after="120"/>
      <w:jc w:val="both"/>
      <w:textAlignment w:val="auto"/>
    </w:pPr>
    <w:rPr>
      <w:rFonts w:eastAsia="SimSun" w:cs="Times New Roman"/>
      <w:sz w:val="18"/>
      <w:szCs w:val="18"/>
      <w:lang w:eastAsia="zh-CN"/>
    </w:rPr>
  </w:style>
  <w:style w:type="paragraph" w:customStyle="1" w:styleId="body">
    <w:name w:val="body"/>
    <w:basedOn w:val="Normln"/>
    <w:rsid w:val="00D71F33"/>
    <w:pPr>
      <w:tabs>
        <w:tab w:val="left" w:pos="851"/>
        <w:tab w:val="left" w:pos="5670"/>
      </w:tabs>
      <w:overflowPunct/>
      <w:autoSpaceDE/>
      <w:autoSpaceDN/>
      <w:adjustRightInd/>
      <w:spacing w:after="120"/>
      <w:ind w:left="851" w:hanging="851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rsid w:val="008165E1"/>
    <w:rPr>
      <w:color w:val="0000FF"/>
      <w:spacing w:val="0"/>
      <w:u w:val="double"/>
    </w:rPr>
  </w:style>
  <w:style w:type="paragraph" w:customStyle="1" w:styleId="CharCharCharCharCharCharChar1CharCharCharChar0">
    <w:name w:val="Char Char Char Char Char Char Char1 Char Char Char Char"/>
    <w:basedOn w:val="Normln"/>
    <w:rsid w:val="008165E1"/>
    <w:pPr>
      <w:widowControl w:val="0"/>
      <w:overflowPunct/>
      <w:autoSpaceDE/>
      <w:autoSpaceDN/>
      <w:spacing w:after="120" w:line="240" w:lineRule="exact"/>
      <w:jc w:val="both"/>
    </w:pPr>
    <w:rPr>
      <w:rFonts w:cs="Times New Roman"/>
      <w:sz w:val="18"/>
      <w:szCs w:val="18"/>
      <w:lang w:eastAsia="en-US"/>
    </w:rPr>
  </w:style>
  <w:style w:type="character" w:styleId="Hypertextovodkaz">
    <w:name w:val="Hyperlink"/>
    <w:basedOn w:val="Standardnpsmoodstavce"/>
    <w:rsid w:val="00B415B2"/>
    <w:rPr>
      <w:color w:val="0000FF"/>
      <w:u w:val="single"/>
    </w:rPr>
  </w:style>
  <w:style w:type="paragraph" w:customStyle="1" w:styleId="Char">
    <w:name w:val="Char"/>
    <w:basedOn w:val="Normln"/>
    <w:rsid w:val="00B415B2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 w:cs="Times New Roman"/>
      <w:sz w:val="18"/>
      <w:lang w:val="en-US" w:eastAsia="en-US"/>
    </w:rPr>
  </w:style>
  <w:style w:type="paragraph" w:customStyle="1" w:styleId="TableText">
    <w:name w:val="Table Text"/>
    <w:basedOn w:val="Normln"/>
    <w:uiPriority w:val="99"/>
    <w:rsid w:val="00144169"/>
    <w:pPr>
      <w:widowControl w:val="0"/>
      <w:overflowPunct/>
      <w:autoSpaceDE/>
      <w:autoSpaceDN/>
      <w:adjustRightInd/>
      <w:textAlignment w:val="auto"/>
    </w:pPr>
    <w:rPr>
      <w:rFonts w:ascii="Palatino" w:hAnsi="Palatino" w:cs="Palatino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56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5669D-5AA9-404A-BF86-4FD7E7C6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3993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Komerční banka, a</vt:lpstr>
    </vt:vector>
  </TitlesOfParts>
  <Company>Komerční banka, a. s.</Company>
  <LinksUpToDate>false</LinksUpToDate>
  <CharactersWithSpaces>27502</CharactersWithSpaces>
  <SharedDoc>false</SharedDoc>
  <HLinks>
    <vt:vector size="6" baseType="variant">
      <vt:variant>
        <vt:i4>5767237</vt:i4>
      </vt:variant>
      <vt:variant>
        <vt:i4>102</vt:i4>
      </vt:variant>
      <vt:variant>
        <vt:i4>0</vt:i4>
      </vt:variant>
      <vt:variant>
        <vt:i4>5</vt:i4>
      </vt:variant>
      <vt:variant>
        <vt:lpwstr>www.kb.cz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Komerční banka, a</dc:title>
  <dc:creator>gcharezi</dc:creator>
  <cp:lastModifiedBy>lukáš osoha</cp:lastModifiedBy>
  <cp:revision>3</cp:revision>
  <cp:lastPrinted>2012-11-27T12:59:00Z</cp:lastPrinted>
  <dcterms:created xsi:type="dcterms:W3CDTF">2013-12-31T10:45:00Z</dcterms:created>
  <dcterms:modified xsi:type="dcterms:W3CDTF">2014-01-02T08:33:00Z</dcterms:modified>
</cp:coreProperties>
</file>