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148" w:rsidRPr="0021745B" w:rsidRDefault="002B4148" w:rsidP="002B4148">
      <w:pPr>
        <w:spacing w:before="100" w:beforeAutospacing="1" w:after="100" w:afterAutospacing="1"/>
        <w:jc w:val="center"/>
        <w:rPr>
          <w:rStyle w:val="ARIEL9"/>
          <w:rFonts w:eastAsia="SimSun"/>
          <w:b/>
          <w:caps/>
        </w:rPr>
      </w:pPr>
      <w:r w:rsidRPr="0021745B">
        <w:rPr>
          <w:rStyle w:val="ARIEL9"/>
          <w:rFonts w:eastAsia="SimSun"/>
          <w:b/>
          <w:caps/>
        </w:rPr>
        <w:t>Informace o službách a nástrojích</w:t>
      </w:r>
    </w:p>
    <w:p w:rsidR="0021745B" w:rsidRDefault="0021745B" w:rsidP="002B4148">
      <w:pPr>
        <w:spacing w:before="100" w:beforeAutospacing="1" w:after="100" w:afterAutospacing="1"/>
        <w:jc w:val="both"/>
        <w:rPr>
          <w:sz w:val="18"/>
          <w:szCs w:val="18"/>
        </w:rPr>
        <w:sectPr w:rsidR="0021745B" w:rsidSect="0021745B">
          <w:headerReference w:type="default" r:id="rId8"/>
          <w:footerReference w:type="default" r:id="rId9"/>
          <w:type w:val="continuous"/>
          <w:pgSz w:w="11907" w:h="16840" w:code="9"/>
          <w:pgMar w:top="2552" w:right="1134" w:bottom="1588" w:left="1134" w:header="454" w:footer="397" w:gutter="0"/>
          <w:cols w:space="708"/>
        </w:sectPr>
      </w:pPr>
      <w:bookmarkStart w:id="0" w:name="neel_klient1"/>
    </w:p>
    <w:p w:rsidR="003921B9" w:rsidRDefault="002B4148">
      <w:pPr>
        <w:pStyle w:val="Nadpis1"/>
        <w:keepNext/>
        <w:numPr>
          <w:ilvl w:val="0"/>
          <w:numId w:val="16"/>
        </w:numPr>
        <w:overflowPunct/>
        <w:autoSpaceDE/>
        <w:autoSpaceDN/>
        <w:adjustRightInd/>
        <w:spacing w:after="0"/>
        <w:jc w:val="both"/>
        <w:textAlignment w:val="auto"/>
        <w:rPr>
          <w:sz w:val="14"/>
          <w:szCs w:val="14"/>
        </w:rPr>
      </w:pPr>
      <w:bookmarkStart w:id="1" w:name="_Ref182017346"/>
      <w:r w:rsidRPr="0021745B">
        <w:rPr>
          <w:sz w:val="14"/>
          <w:szCs w:val="14"/>
        </w:rPr>
        <w:lastRenderedPageBreak/>
        <w:t xml:space="preserve">Údaje o </w:t>
      </w:r>
      <w:r w:rsidR="003A7155" w:rsidRPr="003A7155">
        <w:rPr>
          <w:sz w:val="14"/>
          <w:szCs w:val="14"/>
        </w:rPr>
        <w:t>Komerční ban</w:t>
      </w:r>
      <w:r w:rsidR="003A7155">
        <w:rPr>
          <w:sz w:val="14"/>
          <w:szCs w:val="14"/>
        </w:rPr>
        <w:t>ce</w:t>
      </w:r>
      <w:r w:rsidR="003A7155" w:rsidRPr="003A7155">
        <w:rPr>
          <w:sz w:val="14"/>
          <w:szCs w:val="14"/>
        </w:rPr>
        <w:t xml:space="preserve">, a.s., se sídlem Praha 1, Na Příkopě 33 </w:t>
      </w:r>
      <w:proofErr w:type="spellStart"/>
      <w:r w:rsidR="003A7155" w:rsidRPr="003A7155">
        <w:rPr>
          <w:sz w:val="14"/>
          <w:szCs w:val="14"/>
        </w:rPr>
        <w:t>čp</w:t>
      </w:r>
      <w:proofErr w:type="spellEnd"/>
      <w:r w:rsidR="003A7155" w:rsidRPr="003A7155">
        <w:rPr>
          <w:sz w:val="14"/>
          <w:szCs w:val="14"/>
        </w:rPr>
        <w:t>. 969, PSČ 114 07, IČ: 45317054, zapsané v obchodním rejstříku vedeném Městským soudem v Praze, oddíl B, vložka 1360 (dále jen „Banka“)</w:t>
      </w:r>
      <w:r w:rsidRPr="0021745B">
        <w:rPr>
          <w:sz w:val="14"/>
          <w:szCs w:val="14"/>
        </w:rPr>
        <w:t xml:space="preserve"> jako právnické osobě, která vykonává činnosti stanovené v licenci České národní banky a základní informace související s </w:t>
      </w:r>
      <w:bookmarkEnd w:id="1"/>
      <w:r w:rsidRPr="0021745B">
        <w:rPr>
          <w:sz w:val="14"/>
          <w:szCs w:val="14"/>
        </w:rPr>
        <w:t xml:space="preserve">investičními službami </w:t>
      </w:r>
      <w:r w:rsidR="00CC59B9">
        <w:rPr>
          <w:sz w:val="14"/>
          <w:szCs w:val="14"/>
        </w:rPr>
        <w:t xml:space="preserve">jí </w:t>
      </w:r>
      <w:r w:rsidRPr="0021745B">
        <w:rPr>
          <w:sz w:val="14"/>
          <w:szCs w:val="14"/>
        </w:rPr>
        <w:t>poskytovanými</w:t>
      </w:r>
    </w:p>
    <w:p w:rsidR="003921B9" w:rsidRDefault="002B4148">
      <w:pPr>
        <w:spacing w:before="120"/>
        <w:ind w:left="426"/>
        <w:jc w:val="both"/>
        <w:rPr>
          <w:sz w:val="14"/>
          <w:szCs w:val="14"/>
        </w:rPr>
      </w:pPr>
      <w:r w:rsidRPr="0021745B">
        <w:rPr>
          <w:sz w:val="14"/>
          <w:szCs w:val="14"/>
        </w:rPr>
        <w:t>Banka je právnickou osobou, která vykonává činnosti stanovené v licenci České národní banky v rozsahu dle z</w:t>
      </w:r>
      <w:r w:rsidR="00CC59B9">
        <w:rPr>
          <w:sz w:val="14"/>
          <w:szCs w:val="14"/>
        </w:rPr>
        <w:t>.</w:t>
      </w:r>
      <w:r w:rsidRPr="0021745B">
        <w:rPr>
          <w:sz w:val="14"/>
          <w:szCs w:val="14"/>
        </w:rPr>
        <w:t xml:space="preserve">č. 21/1992 Sb., o bankách, ve znění pozdějších předpisů, a které byla udělena povolení k vykonávání hlavních a doplňkových investičních služeb v rozsahu dle příslušného ustanovení </w:t>
      </w:r>
      <w:r w:rsidR="003A7155" w:rsidRPr="003A7155">
        <w:rPr>
          <w:sz w:val="14"/>
          <w:szCs w:val="14"/>
        </w:rPr>
        <w:t>zákon</w:t>
      </w:r>
      <w:r w:rsidR="003A7155">
        <w:rPr>
          <w:sz w:val="14"/>
          <w:szCs w:val="14"/>
        </w:rPr>
        <w:t>a</w:t>
      </w:r>
      <w:r w:rsidR="003A7155" w:rsidRPr="003A7155">
        <w:rPr>
          <w:sz w:val="14"/>
          <w:szCs w:val="14"/>
        </w:rPr>
        <w:t xml:space="preserve"> č. 256/2004 Sb., o podnikání na kapitálovém trhu, ve znění pozdějších předpisů (dále jen „</w:t>
      </w:r>
      <w:r w:rsidR="003A7155" w:rsidRPr="003A7155">
        <w:rPr>
          <w:b/>
          <w:sz w:val="14"/>
          <w:szCs w:val="14"/>
        </w:rPr>
        <w:t>ZPKT</w:t>
      </w:r>
      <w:r w:rsidR="003A7155" w:rsidRPr="003A7155">
        <w:rPr>
          <w:sz w:val="14"/>
          <w:szCs w:val="14"/>
        </w:rPr>
        <w:t>“)</w:t>
      </w:r>
      <w:r w:rsidRPr="003A7155">
        <w:rPr>
          <w:sz w:val="14"/>
          <w:szCs w:val="14"/>
        </w:rPr>
        <w:t>. Banka při poskytování investičních služeb podléhá dohledu</w:t>
      </w:r>
      <w:r w:rsidRPr="0021745B">
        <w:rPr>
          <w:sz w:val="14"/>
          <w:szCs w:val="14"/>
        </w:rPr>
        <w:t xml:space="preserve"> České národní banky se sídlem Na Příkopě 28, Praha 1.</w:t>
      </w:r>
    </w:p>
    <w:p w:rsidR="003921B9" w:rsidRDefault="002B4148">
      <w:pPr>
        <w:pStyle w:val="Nadpis1"/>
        <w:keepLines/>
        <w:numPr>
          <w:ilvl w:val="0"/>
          <w:numId w:val="16"/>
        </w:numPr>
        <w:overflowPunct/>
        <w:autoSpaceDE/>
        <w:autoSpaceDN/>
        <w:adjustRightInd/>
        <w:spacing w:after="0"/>
        <w:jc w:val="both"/>
        <w:textAlignment w:val="auto"/>
        <w:rPr>
          <w:sz w:val="14"/>
          <w:szCs w:val="14"/>
        </w:rPr>
      </w:pPr>
      <w:r w:rsidRPr="0021745B">
        <w:rPr>
          <w:sz w:val="14"/>
          <w:szCs w:val="14"/>
        </w:rPr>
        <w:t xml:space="preserve">Informace </w:t>
      </w:r>
      <w:r w:rsidR="00CC59B9">
        <w:rPr>
          <w:sz w:val="14"/>
          <w:szCs w:val="14"/>
        </w:rPr>
        <w:t>o investičních službách, které b</w:t>
      </w:r>
      <w:r w:rsidRPr="0021745B">
        <w:rPr>
          <w:sz w:val="14"/>
          <w:szCs w:val="14"/>
        </w:rPr>
        <w:t>anka poskytuje klientům</w:t>
      </w:r>
    </w:p>
    <w:p w:rsidR="003921B9" w:rsidRDefault="002B4148">
      <w:pPr>
        <w:pStyle w:val="Nadpis2"/>
        <w:keepLines/>
        <w:numPr>
          <w:ilvl w:val="1"/>
          <w:numId w:val="13"/>
        </w:numPr>
        <w:overflowPunct/>
        <w:autoSpaceDE/>
        <w:autoSpaceDN/>
        <w:adjustRightInd/>
        <w:spacing w:before="120" w:after="0"/>
        <w:jc w:val="both"/>
        <w:textAlignment w:val="auto"/>
        <w:rPr>
          <w:sz w:val="14"/>
          <w:szCs w:val="14"/>
        </w:rPr>
      </w:pPr>
      <w:r w:rsidRPr="0021745B">
        <w:rPr>
          <w:sz w:val="14"/>
          <w:szCs w:val="14"/>
        </w:rPr>
        <w:t xml:space="preserve">Banka je </w:t>
      </w:r>
      <w:r w:rsidR="000E0292">
        <w:rPr>
          <w:sz w:val="14"/>
          <w:szCs w:val="14"/>
        </w:rPr>
        <w:t>připravena</w:t>
      </w:r>
      <w:r w:rsidRPr="0021745B">
        <w:rPr>
          <w:sz w:val="14"/>
          <w:szCs w:val="14"/>
        </w:rPr>
        <w:t xml:space="preserve"> poskytovat </w:t>
      </w:r>
      <w:r w:rsidR="00112EC7">
        <w:rPr>
          <w:sz w:val="14"/>
          <w:szCs w:val="14"/>
        </w:rPr>
        <w:t>k</w:t>
      </w:r>
      <w:r w:rsidR="000E0292">
        <w:rPr>
          <w:sz w:val="14"/>
          <w:szCs w:val="14"/>
        </w:rPr>
        <w:t>lient</w:t>
      </w:r>
      <w:r w:rsidR="003A7155">
        <w:rPr>
          <w:sz w:val="14"/>
          <w:szCs w:val="14"/>
        </w:rPr>
        <w:t>ům</w:t>
      </w:r>
      <w:r w:rsidR="000E0292">
        <w:rPr>
          <w:sz w:val="14"/>
          <w:szCs w:val="14"/>
        </w:rPr>
        <w:t xml:space="preserve"> dle příslušné smlouvy </w:t>
      </w:r>
      <w:r w:rsidRPr="0021745B">
        <w:rPr>
          <w:sz w:val="14"/>
          <w:szCs w:val="14"/>
        </w:rPr>
        <w:t>tyto</w:t>
      </w:r>
      <w:r w:rsidR="003E7315">
        <w:rPr>
          <w:sz w:val="14"/>
          <w:szCs w:val="14"/>
        </w:rPr>
        <w:t xml:space="preserve"> hlavní</w:t>
      </w:r>
      <w:r w:rsidRPr="0021745B">
        <w:rPr>
          <w:sz w:val="14"/>
          <w:szCs w:val="14"/>
        </w:rPr>
        <w:t xml:space="preserve"> investiční služby:</w:t>
      </w:r>
    </w:p>
    <w:p w:rsidR="003921B9" w:rsidRDefault="002B4148">
      <w:pPr>
        <w:pStyle w:val="Styl5"/>
        <w:keepNext w:val="0"/>
        <w:keepLines/>
        <w:numPr>
          <w:ilvl w:val="2"/>
          <w:numId w:val="12"/>
        </w:numPr>
        <w:spacing w:before="120" w:after="0"/>
        <w:rPr>
          <w:rStyle w:val="ARIAL9B"/>
          <w:sz w:val="14"/>
          <w:szCs w:val="14"/>
        </w:rPr>
      </w:pPr>
      <w:r w:rsidRPr="0021745B">
        <w:rPr>
          <w:rStyle w:val="ARIAL9B"/>
          <w:sz w:val="14"/>
          <w:szCs w:val="14"/>
        </w:rPr>
        <w:t>přijímání a předávání pokynů týkajících se investičních nástrojů,</w:t>
      </w:r>
    </w:p>
    <w:p w:rsidR="003921B9" w:rsidRDefault="002B4148">
      <w:pPr>
        <w:pStyle w:val="Styl5"/>
        <w:keepNext w:val="0"/>
        <w:keepLines/>
        <w:numPr>
          <w:ilvl w:val="2"/>
          <w:numId w:val="12"/>
        </w:numPr>
        <w:spacing w:before="120" w:after="0"/>
        <w:rPr>
          <w:rStyle w:val="ARIAL9B"/>
          <w:sz w:val="14"/>
          <w:szCs w:val="14"/>
        </w:rPr>
      </w:pPr>
      <w:r w:rsidRPr="0021745B">
        <w:rPr>
          <w:rStyle w:val="ARIAL9B"/>
          <w:sz w:val="14"/>
          <w:szCs w:val="14"/>
        </w:rPr>
        <w:t>provádění pokynů týkajících se investi</w:t>
      </w:r>
      <w:r w:rsidR="000E0292">
        <w:rPr>
          <w:rStyle w:val="ARIAL9B"/>
          <w:sz w:val="14"/>
          <w:szCs w:val="14"/>
        </w:rPr>
        <w:t>čních nástrojů na účet zákazníka</w:t>
      </w:r>
      <w:r w:rsidRPr="0021745B">
        <w:rPr>
          <w:rStyle w:val="ARIAL9B"/>
          <w:sz w:val="14"/>
          <w:szCs w:val="14"/>
        </w:rPr>
        <w:t>,</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obchodování s investičními nástroji na vlastní účet,</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investiční poradenství týkající se investičních nástrojů,</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upisování nebo umisťování investičních nástrojů se závazkem jejich upsání,</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umisťování investičních nástrojů bez závazku jejich upsání.</w:t>
      </w:r>
    </w:p>
    <w:p w:rsidR="003921B9" w:rsidRDefault="00112EC7">
      <w:pPr>
        <w:pStyle w:val="Nadpis1"/>
        <w:keepLines/>
        <w:numPr>
          <w:ilvl w:val="0"/>
          <w:numId w:val="16"/>
        </w:numPr>
        <w:overflowPunct/>
        <w:autoSpaceDE/>
        <w:autoSpaceDN/>
        <w:adjustRightInd/>
        <w:spacing w:after="0"/>
        <w:jc w:val="both"/>
        <w:textAlignment w:val="auto"/>
        <w:rPr>
          <w:sz w:val="14"/>
          <w:szCs w:val="14"/>
        </w:rPr>
      </w:pPr>
      <w:r>
        <w:rPr>
          <w:sz w:val="14"/>
          <w:szCs w:val="14"/>
        </w:rPr>
        <w:t>Informace o investičních n</w:t>
      </w:r>
      <w:r w:rsidR="002B4148" w:rsidRPr="003F5186">
        <w:rPr>
          <w:sz w:val="14"/>
          <w:szCs w:val="14"/>
        </w:rPr>
        <w:t>ástrojích</w:t>
      </w:r>
    </w:p>
    <w:p w:rsidR="003921B9" w:rsidRDefault="00112EC7">
      <w:pPr>
        <w:pStyle w:val="Nadpis2"/>
        <w:numPr>
          <w:ilvl w:val="1"/>
          <w:numId w:val="22"/>
        </w:numPr>
        <w:spacing w:before="120" w:after="0"/>
        <w:jc w:val="both"/>
        <w:rPr>
          <w:b w:val="0"/>
          <w:bCs/>
          <w:sz w:val="14"/>
          <w:szCs w:val="14"/>
        </w:rPr>
      </w:pPr>
      <w:r>
        <w:rPr>
          <w:b w:val="0"/>
          <w:sz w:val="14"/>
          <w:szCs w:val="14"/>
          <w:lang w:bidi="th-TH"/>
        </w:rPr>
        <w:t>Investiční n</w:t>
      </w:r>
      <w:r w:rsidR="002B4148" w:rsidRPr="0021745B">
        <w:rPr>
          <w:b w:val="0"/>
          <w:sz w:val="14"/>
          <w:szCs w:val="14"/>
          <w:lang w:bidi="th-TH"/>
        </w:rPr>
        <w:t xml:space="preserve">ástroje, </w:t>
      </w:r>
      <w:r>
        <w:rPr>
          <w:b w:val="0"/>
          <w:sz w:val="14"/>
          <w:szCs w:val="14"/>
          <w:lang w:bidi="th-TH"/>
        </w:rPr>
        <w:t>ohledně nichž Banka poskyt</w:t>
      </w:r>
      <w:r w:rsidR="00CC59B9">
        <w:rPr>
          <w:b w:val="0"/>
          <w:sz w:val="14"/>
          <w:szCs w:val="14"/>
          <w:lang w:bidi="th-TH"/>
        </w:rPr>
        <w:t>uje klientům služby, jsou definovány</w:t>
      </w:r>
      <w:r>
        <w:rPr>
          <w:b w:val="0"/>
          <w:sz w:val="14"/>
          <w:szCs w:val="14"/>
          <w:lang w:bidi="th-TH"/>
        </w:rPr>
        <w:t xml:space="preserve"> v příslušné smlouvě.</w:t>
      </w:r>
    </w:p>
    <w:p w:rsidR="003921B9" w:rsidRDefault="002B4148">
      <w:pPr>
        <w:pStyle w:val="Nadpis1"/>
        <w:keepLines/>
        <w:numPr>
          <w:ilvl w:val="0"/>
          <w:numId w:val="16"/>
        </w:numPr>
        <w:overflowPunct/>
        <w:autoSpaceDE/>
        <w:autoSpaceDN/>
        <w:adjustRightInd/>
        <w:spacing w:after="0"/>
        <w:jc w:val="both"/>
        <w:textAlignment w:val="auto"/>
        <w:rPr>
          <w:sz w:val="14"/>
          <w:szCs w:val="14"/>
        </w:rPr>
      </w:pPr>
      <w:r w:rsidRPr="0021745B">
        <w:rPr>
          <w:sz w:val="14"/>
          <w:szCs w:val="14"/>
        </w:rPr>
        <w:t>Poučení o Garančním fondu obchodníků s cennými papíry</w:t>
      </w:r>
    </w:p>
    <w:p w:rsidR="003921B9" w:rsidRDefault="002B4148">
      <w:pPr>
        <w:pStyle w:val="Nadpis2"/>
        <w:numPr>
          <w:ilvl w:val="1"/>
          <w:numId w:val="24"/>
        </w:numPr>
        <w:spacing w:before="120" w:after="0"/>
        <w:ind w:left="426"/>
        <w:jc w:val="both"/>
        <w:rPr>
          <w:b w:val="0"/>
          <w:sz w:val="14"/>
          <w:szCs w:val="14"/>
        </w:rPr>
      </w:pPr>
      <w:r w:rsidRPr="003F5186">
        <w:rPr>
          <w:b w:val="0"/>
          <w:sz w:val="14"/>
          <w:szCs w:val="14"/>
        </w:rPr>
        <w:t>V souladu se zněním § 128 ZPKT, je Banka účastníkem záručního systému zabezpečovaného Garančním fondem obchodníků s cennými papíry (dále jen „</w:t>
      </w:r>
      <w:r w:rsidRPr="00D56827">
        <w:rPr>
          <w:sz w:val="14"/>
          <w:szCs w:val="14"/>
        </w:rPr>
        <w:t>Fond</w:t>
      </w:r>
      <w:r w:rsidRPr="003F5186">
        <w:rPr>
          <w:b w:val="0"/>
          <w:sz w:val="14"/>
          <w:szCs w:val="14"/>
        </w:rPr>
        <w:t xml:space="preserve">“). Fond je právnickou osobou zapisovanou do obchodního rejstříku, není však státním fondem a nevztahují se na něj předpisy o pojišťovnictví. Fond zabezpečuje záruční systém, ze kterého se vyplácejí náhrady zákazníkům obchodníka s cennými papíry, který není schopen plnit své </w:t>
      </w:r>
      <w:r w:rsidR="00CC59B9">
        <w:rPr>
          <w:b w:val="0"/>
          <w:sz w:val="14"/>
          <w:szCs w:val="14"/>
        </w:rPr>
        <w:t>dluhy</w:t>
      </w:r>
      <w:r w:rsidRPr="003F5186">
        <w:rPr>
          <w:b w:val="0"/>
          <w:sz w:val="14"/>
          <w:szCs w:val="14"/>
        </w:rPr>
        <w:t xml:space="preserve"> vůči svým zákazníkům. Fond je řízen pětičlennou správní radou, která je jeho statutárním orgánem a jejíž členové jsou jmenováni a odvoláváni ministrem financí, jejich funkční období je pětileté.</w:t>
      </w:r>
    </w:p>
    <w:p w:rsidR="003921B9" w:rsidRDefault="002B4148">
      <w:pPr>
        <w:pStyle w:val="Nadpis2"/>
        <w:numPr>
          <w:ilvl w:val="1"/>
          <w:numId w:val="24"/>
        </w:numPr>
        <w:spacing w:before="120" w:after="0"/>
        <w:ind w:left="426"/>
        <w:jc w:val="both"/>
        <w:rPr>
          <w:b w:val="0"/>
          <w:sz w:val="14"/>
          <w:szCs w:val="14"/>
        </w:rPr>
      </w:pPr>
      <w:r w:rsidRPr="003F5186">
        <w:rPr>
          <w:b w:val="0"/>
          <w:sz w:val="14"/>
          <w:szCs w:val="14"/>
        </w:rPr>
        <w:t>Banka prohlašuje, že řádně a včas platí příspěvky do Fondu dle usta</w:t>
      </w:r>
      <w:r w:rsidR="003A7155">
        <w:rPr>
          <w:b w:val="0"/>
          <w:sz w:val="14"/>
          <w:szCs w:val="14"/>
        </w:rPr>
        <w:t>novení § 129 ZPKT a že majetek k</w:t>
      </w:r>
      <w:r w:rsidRPr="003F5186">
        <w:rPr>
          <w:b w:val="0"/>
          <w:sz w:val="14"/>
          <w:szCs w:val="14"/>
        </w:rPr>
        <w:t>lienta (pro účely tohoto poučení a v souladu se ZPKT dále jen „</w:t>
      </w:r>
      <w:r w:rsidRPr="00D56827">
        <w:rPr>
          <w:sz w:val="14"/>
          <w:szCs w:val="14"/>
        </w:rPr>
        <w:t>zákazník</w:t>
      </w:r>
      <w:r w:rsidRPr="003F5186">
        <w:rPr>
          <w:b w:val="0"/>
          <w:sz w:val="14"/>
          <w:szCs w:val="14"/>
        </w:rPr>
        <w:t>“), na který se vztahuje náhrada z Fondu, podléhá, v souladu se ZPKT, záručnímu systému zabezpečovanému Fondem. Majetek zákazníka není součástí majetku Banky.</w:t>
      </w:r>
    </w:p>
    <w:p w:rsidR="003921B9" w:rsidRDefault="002B4148">
      <w:pPr>
        <w:pStyle w:val="Nadpis2"/>
        <w:numPr>
          <w:ilvl w:val="1"/>
          <w:numId w:val="24"/>
        </w:numPr>
        <w:spacing w:before="120" w:after="0"/>
        <w:ind w:left="426"/>
        <w:jc w:val="both"/>
        <w:rPr>
          <w:b w:val="0"/>
          <w:sz w:val="14"/>
          <w:szCs w:val="14"/>
        </w:rPr>
      </w:pPr>
      <w:bookmarkStart w:id="2" w:name="_Ref192252665"/>
      <w:r w:rsidRPr="003F5186">
        <w:rPr>
          <w:b w:val="0"/>
          <w:sz w:val="14"/>
          <w:szCs w:val="14"/>
        </w:rPr>
        <w:t xml:space="preserve">V případě, že (i) Banka nebude z důvodů své finanční situace schopna plnit své </w:t>
      </w:r>
      <w:r w:rsidR="00CC59B9">
        <w:rPr>
          <w:b w:val="0"/>
          <w:sz w:val="14"/>
          <w:szCs w:val="14"/>
        </w:rPr>
        <w:t>povinnosti</w:t>
      </w:r>
      <w:r w:rsidRPr="003F5186">
        <w:rPr>
          <w:b w:val="0"/>
          <w:sz w:val="14"/>
          <w:szCs w:val="14"/>
        </w:rPr>
        <w:t xml:space="preserve"> spočívající ve vydání majetku zákazníkům a nebude pravděpodobné, že je splní do 1 roku, nebo (</w:t>
      </w:r>
      <w:proofErr w:type="spellStart"/>
      <w:r w:rsidRPr="003F5186">
        <w:rPr>
          <w:b w:val="0"/>
          <w:sz w:val="14"/>
          <w:szCs w:val="14"/>
        </w:rPr>
        <w:t>ii</w:t>
      </w:r>
      <w:proofErr w:type="spellEnd"/>
      <w:r w:rsidRPr="003F5186">
        <w:rPr>
          <w:b w:val="0"/>
          <w:sz w:val="14"/>
          <w:szCs w:val="14"/>
        </w:rPr>
        <w:t xml:space="preserve">) soud </w:t>
      </w:r>
      <w:r w:rsidR="003F5186" w:rsidRPr="003F5186">
        <w:rPr>
          <w:b w:val="0"/>
          <w:sz w:val="14"/>
          <w:szCs w:val="14"/>
        </w:rPr>
        <w:t>vydal rozhodnutí o úpadku</w:t>
      </w:r>
      <w:r w:rsidRPr="003F5186">
        <w:rPr>
          <w:b w:val="0"/>
          <w:sz w:val="14"/>
          <w:szCs w:val="14"/>
        </w:rPr>
        <w:t xml:space="preserve"> Banky nebo vydá jiné rozhodnutí, které bude mít za následek, že zákazníci Banky se nebudou moci účinně domáhat vydání svého majetku vůči Bance, poskytne Fond prostředky na náhrady plynoucí z této neschopnosti, a to poté, co Fond obdrží oznámení České národní banky o tom, že Banka není z důvodů v tomto odstavci uvedených schopna plnit vůči zákazníkům své </w:t>
      </w:r>
      <w:r w:rsidR="00CC59B9">
        <w:rPr>
          <w:b w:val="0"/>
          <w:sz w:val="14"/>
          <w:szCs w:val="14"/>
        </w:rPr>
        <w:t>povinnosti</w:t>
      </w:r>
      <w:r w:rsidRPr="003F5186">
        <w:rPr>
          <w:b w:val="0"/>
          <w:sz w:val="14"/>
          <w:szCs w:val="14"/>
        </w:rPr>
        <w:t xml:space="preserve">. Fond neprodleně uveřejní vhodným způsobem skutečnost, že Banka není schopna plnit své </w:t>
      </w:r>
      <w:r w:rsidR="00CC59B9">
        <w:rPr>
          <w:b w:val="0"/>
          <w:sz w:val="14"/>
          <w:szCs w:val="14"/>
        </w:rPr>
        <w:t>povinnosti</w:t>
      </w:r>
      <w:r w:rsidRPr="003F5186">
        <w:rPr>
          <w:b w:val="0"/>
          <w:sz w:val="14"/>
          <w:szCs w:val="14"/>
        </w:rPr>
        <w:t xml:space="preserve">, a dále uveřejní místo, způsob, </w:t>
      </w:r>
      <w:r w:rsidR="00CC59B9">
        <w:rPr>
          <w:b w:val="0"/>
          <w:sz w:val="14"/>
          <w:szCs w:val="14"/>
        </w:rPr>
        <w:t>dobu</w:t>
      </w:r>
      <w:r w:rsidRPr="003F5186">
        <w:rPr>
          <w:b w:val="0"/>
          <w:sz w:val="14"/>
          <w:szCs w:val="14"/>
        </w:rPr>
        <w:t xml:space="preserve"> pro přihlášení nároků zákazníků na náhradu a zahájení </w:t>
      </w:r>
      <w:r w:rsidRPr="003F5186">
        <w:rPr>
          <w:b w:val="0"/>
          <w:sz w:val="14"/>
          <w:szCs w:val="14"/>
        </w:rPr>
        <w:lastRenderedPageBreak/>
        <w:t xml:space="preserve">výplat náhrad z Fondu a případné další skutečnosti související s přihlášením nároků. </w:t>
      </w:r>
      <w:r w:rsidR="00CC59B9">
        <w:rPr>
          <w:b w:val="0"/>
          <w:sz w:val="14"/>
          <w:szCs w:val="14"/>
        </w:rPr>
        <w:t>Doba</w:t>
      </w:r>
      <w:r w:rsidRPr="003F5186">
        <w:rPr>
          <w:b w:val="0"/>
          <w:sz w:val="14"/>
          <w:szCs w:val="14"/>
        </w:rPr>
        <w:t xml:space="preserve"> pro přihlášení nároků nebude dle platné právní úpravy kratší než 5 měsíců ode dne zmíněného uveřejnění. Skutečnosti, že tato </w:t>
      </w:r>
      <w:r w:rsidR="00CC59B9">
        <w:rPr>
          <w:b w:val="0"/>
          <w:sz w:val="14"/>
          <w:szCs w:val="14"/>
        </w:rPr>
        <w:t>doba</w:t>
      </w:r>
      <w:r w:rsidRPr="003F5186">
        <w:rPr>
          <w:b w:val="0"/>
          <w:sz w:val="14"/>
          <w:szCs w:val="14"/>
        </w:rPr>
        <w:t xml:space="preserve"> uplynula, se nelze dovolávat k odepření výplaty náhrady z Fondu.</w:t>
      </w:r>
      <w:bookmarkEnd w:id="2"/>
    </w:p>
    <w:p w:rsidR="003921B9" w:rsidRDefault="002B4148">
      <w:pPr>
        <w:pStyle w:val="Nadpis2"/>
        <w:numPr>
          <w:ilvl w:val="1"/>
          <w:numId w:val="24"/>
        </w:numPr>
        <w:spacing w:before="120" w:after="0"/>
        <w:ind w:left="426"/>
        <w:jc w:val="both"/>
        <w:rPr>
          <w:b w:val="0"/>
          <w:sz w:val="14"/>
          <w:szCs w:val="14"/>
        </w:rPr>
      </w:pPr>
      <w:r w:rsidRPr="003F5186">
        <w:rPr>
          <w:b w:val="0"/>
          <w:sz w:val="14"/>
          <w:szCs w:val="14"/>
        </w:rPr>
        <w:t xml:space="preserve">Základ pro určení výše náhrady podle odstavce </w:t>
      </w:r>
      <w:fldSimple w:instr=" REF _Ref192252665 \n \h  \* MERGEFORMAT ">
        <w:r w:rsidR="00994072" w:rsidRPr="00994072">
          <w:rPr>
            <w:b w:val="0"/>
            <w:sz w:val="14"/>
            <w:szCs w:val="14"/>
          </w:rPr>
          <w:t>4.3</w:t>
        </w:r>
      </w:fldSimple>
      <w:r w:rsidRPr="003F5186">
        <w:rPr>
          <w:b w:val="0"/>
          <w:sz w:val="14"/>
          <w:szCs w:val="14"/>
        </w:rPr>
        <w:t xml:space="preserve"> se určí tak, že se sečtou hodnoty všech složek majetku zákazníka, které nemohly být vydány z důvodů přímo souvisejících s finanční situací Banky, a to včetně jeho spoluvlastnického podílu na majetku ve spoluvlastnictví s jinými zákazníky, s výjimkou hodnoty peněžních prostředků vedených Bankou na účtech pojištěných podle z</w:t>
      </w:r>
      <w:r w:rsidR="00CC59B9">
        <w:rPr>
          <w:b w:val="0"/>
          <w:sz w:val="14"/>
          <w:szCs w:val="14"/>
        </w:rPr>
        <w:t>.</w:t>
      </w:r>
      <w:r w:rsidRPr="003F5186">
        <w:rPr>
          <w:b w:val="0"/>
          <w:sz w:val="14"/>
          <w:szCs w:val="14"/>
        </w:rPr>
        <w:t xml:space="preserve">č. 21/1992 Sb. o bankách, ve znění pozdějších předpisů. Od výsledné částky se odečte hodnota </w:t>
      </w:r>
      <w:r w:rsidR="00CC59B9">
        <w:rPr>
          <w:b w:val="0"/>
          <w:sz w:val="14"/>
          <w:szCs w:val="14"/>
        </w:rPr>
        <w:t>dluh</w:t>
      </w:r>
      <w:r w:rsidRPr="003F5186">
        <w:rPr>
          <w:b w:val="0"/>
          <w:sz w:val="14"/>
          <w:szCs w:val="14"/>
        </w:rPr>
        <w:t xml:space="preserve">ů zákazníka vůči Bance splatných ke dni, ke kterému Fond obdržel oznámení České národní banky podle odstavce </w:t>
      </w:r>
      <w:fldSimple w:instr=" REF _Ref192252665 \n \h  \* MERGEFORMAT ">
        <w:r w:rsidR="00994072" w:rsidRPr="00994072">
          <w:rPr>
            <w:b w:val="0"/>
            <w:sz w:val="14"/>
            <w:szCs w:val="14"/>
          </w:rPr>
          <w:t>4.3</w:t>
        </w:r>
      </w:fldSimple>
      <w:r w:rsidRPr="003F5186">
        <w:rPr>
          <w:b w:val="0"/>
          <w:sz w:val="14"/>
          <w:szCs w:val="14"/>
        </w:rPr>
        <w:t xml:space="preserve">. Pro určení hodnoty zákaznického majetku jsou určující reálné hodnoty investičních nástrojů platné ke dni, kdy Fond obdržel oznámení od České národní banky podle odstavce </w:t>
      </w:r>
      <w:fldSimple w:instr=" REF _Ref192252665 \n \h  \* MERGEFORMAT ">
        <w:r w:rsidR="00994072" w:rsidRPr="00994072">
          <w:rPr>
            <w:b w:val="0"/>
            <w:sz w:val="14"/>
            <w:szCs w:val="14"/>
          </w:rPr>
          <w:t>4.3</w:t>
        </w:r>
      </w:fldSimple>
      <w:r w:rsidR="00994072">
        <w:rPr>
          <w:b w:val="0"/>
          <w:sz w:val="14"/>
          <w:szCs w:val="14"/>
        </w:rPr>
        <w:t xml:space="preserve">. </w:t>
      </w:r>
      <w:r w:rsidRPr="003F5186">
        <w:rPr>
          <w:b w:val="0"/>
          <w:sz w:val="14"/>
          <w:szCs w:val="14"/>
        </w:rPr>
        <w:t>Náhrada se pak zákazníkovi poskytne ve výši 90% částky vypočtené podle předchozích vět tohoto odstavce a v souladu s příslušnými ustanoveními ZPKT, nejvýše však částka v korunách českých odpovídající 20 000 EUR.</w:t>
      </w:r>
    </w:p>
    <w:p w:rsidR="003921B9" w:rsidRDefault="002B4148">
      <w:pPr>
        <w:pStyle w:val="Nadpis2"/>
        <w:numPr>
          <w:ilvl w:val="1"/>
          <w:numId w:val="24"/>
        </w:numPr>
        <w:spacing w:before="120" w:after="0"/>
        <w:ind w:left="426"/>
        <w:jc w:val="both"/>
        <w:rPr>
          <w:rStyle w:val="ARIEL9"/>
          <w:rFonts w:eastAsia="SimSun"/>
          <w:b w:val="0"/>
          <w:sz w:val="14"/>
          <w:szCs w:val="14"/>
        </w:rPr>
      </w:pPr>
      <w:r w:rsidRPr="003F5186">
        <w:rPr>
          <w:b w:val="0"/>
          <w:sz w:val="14"/>
          <w:szCs w:val="14"/>
        </w:rPr>
        <w:t>Na</w:t>
      </w:r>
      <w:r w:rsidRPr="003F5186">
        <w:rPr>
          <w:rStyle w:val="ARIEL9"/>
          <w:rFonts w:eastAsia="SimSun"/>
          <w:b w:val="0"/>
          <w:sz w:val="14"/>
          <w:szCs w:val="14"/>
        </w:rPr>
        <w:t xml:space="preserve"> náhrady z Fondu nemají v souladu se ZPKT nárok:</w:t>
      </w:r>
    </w:p>
    <w:p w:rsidR="003921B9" w:rsidRDefault="002B4148">
      <w:pPr>
        <w:pStyle w:val="Styl5"/>
        <w:numPr>
          <w:ilvl w:val="2"/>
          <w:numId w:val="17"/>
        </w:numPr>
        <w:overflowPunct w:val="0"/>
        <w:autoSpaceDE w:val="0"/>
        <w:autoSpaceDN w:val="0"/>
        <w:adjustRightInd w:val="0"/>
        <w:spacing w:before="120" w:after="0"/>
        <w:textAlignment w:val="baseline"/>
        <w:rPr>
          <w:rStyle w:val="ARIEL9"/>
          <w:b/>
          <w:sz w:val="14"/>
          <w:szCs w:val="14"/>
          <w:lang w:val="cs-CZ" w:eastAsia="cs-CZ"/>
        </w:rPr>
      </w:pPr>
      <w:r w:rsidRPr="003F5186">
        <w:rPr>
          <w:rStyle w:val="ARIEL9"/>
          <w:sz w:val="14"/>
          <w:szCs w:val="14"/>
          <w:lang w:val="cs-CZ"/>
        </w:rPr>
        <w:t>Česká konsolidační agentura,</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b/>
          <w:sz w:val="14"/>
          <w:szCs w:val="14"/>
          <w:lang w:val="cs-CZ" w:eastAsia="cs-CZ"/>
        </w:rPr>
      </w:pPr>
      <w:r w:rsidRPr="003F5186">
        <w:rPr>
          <w:rStyle w:val="ARIEL9"/>
          <w:sz w:val="14"/>
          <w:szCs w:val="14"/>
          <w:lang w:val="cs-CZ"/>
        </w:rPr>
        <w:t>územní samosprávný celek,</w:t>
      </w:r>
    </w:p>
    <w:p w:rsidR="003921B9" w:rsidRDefault="002B4148">
      <w:pPr>
        <w:pStyle w:val="Styl5"/>
        <w:numPr>
          <w:ilvl w:val="2"/>
          <w:numId w:val="17"/>
        </w:numPr>
        <w:overflowPunct w:val="0"/>
        <w:autoSpaceDE w:val="0"/>
        <w:autoSpaceDN w:val="0"/>
        <w:adjustRightInd w:val="0"/>
        <w:spacing w:before="120" w:after="0"/>
        <w:textAlignment w:val="baseline"/>
        <w:rPr>
          <w:rStyle w:val="ARIEL9"/>
          <w:b/>
          <w:sz w:val="14"/>
          <w:szCs w:val="14"/>
          <w:lang w:val="cs-CZ" w:eastAsia="cs-CZ"/>
        </w:rPr>
      </w:pPr>
      <w:r w:rsidRPr="003F5186">
        <w:rPr>
          <w:rStyle w:val="ARIEL9"/>
          <w:sz w:val="14"/>
          <w:szCs w:val="14"/>
          <w:lang w:val="cs-CZ"/>
        </w:rPr>
        <w:t xml:space="preserve">osoba, která v průběhu 3 let předcházejících uveřejnění oznámení Fondu podle odstavce </w:t>
      </w:r>
      <w:fldSimple w:instr=" REF _Ref192252665 \n \h  \* MERGEFORMAT ">
        <w:r w:rsidR="00994072" w:rsidRPr="00994072">
          <w:rPr>
            <w:rStyle w:val="ARIEL9"/>
            <w:sz w:val="14"/>
            <w:szCs w:val="14"/>
            <w:lang w:val="cs-CZ"/>
          </w:rPr>
          <w:t>4.3</w:t>
        </w:r>
      </w:fldSimple>
      <w:r w:rsidRPr="003F5186">
        <w:rPr>
          <w:rStyle w:val="ARIEL9"/>
          <w:sz w:val="14"/>
          <w:szCs w:val="14"/>
          <w:lang w:val="cs-CZ"/>
        </w:rPr>
        <w:t>:</w:t>
      </w:r>
    </w:p>
    <w:p w:rsidR="003921B9" w:rsidRDefault="002B4148">
      <w:pPr>
        <w:numPr>
          <w:ilvl w:val="0"/>
          <w:numId w:val="25"/>
        </w:numPr>
        <w:spacing w:before="120"/>
        <w:jc w:val="both"/>
        <w:rPr>
          <w:rStyle w:val="ARIEL9"/>
          <w:rFonts w:eastAsia="SimSun"/>
          <w:sz w:val="14"/>
          <w:szCs w:val="14"/>
          <w:lang w:eastAsia="zh-CN"/>
        </w:rPr>
      </w:pPr>
      <w:r w:rsidRPr="003F5186">
        <w:rPr>
          <w:rStyle w:val="ARIEL9"/>
          <w:rFonts w:eastAsia="SimSun"/>
          <w:sz w:val="14"/>
          <w:szCs w:val="14"/>
        </w:rPr>
        <w:t>prováděla audit nebo se podílela na provádění auditu obchodníka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3F5186">
        <w:rPr>
          <w:rStyle w:val="ARIEL9"/>
          <w:rFonts w:eastAsia="SimSun"/>
          <w:sz w:val="14"/>
          <w:szCs w:val="14"/>
        </w:rPr>
        <w:t>byla vedoucí osobou obchodníka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3F5186">
        <w:rPr>
          <w:rStyle w:val="ARIEL9"/>
          <w:rFonts w:eastAsia="SimSun"/>
          <w:sz w:val="14"/>
          <w:szCs w:val="14"/>
        </w:rPr>
        <w:t>byla osobou s kvalifikovanou účastí na obchodníkovi s cennými papíry</w:t>
      </w:r>
      <w:r w:rsidRPr="0021745B">
        <w:rPr>
          <w:rStyle w:val="ARIEL9"/>
          <w:rFonts w:eastAsia="SimSun"/>
          <w:sz w:val="14"/>
          <w:szCs w:val="14"/>
        </w:rPr>
        <w:t>,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byla osobou blízkou podle občanského zákoníku osobě podle bodů a) až c),</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byla osobou, která patří do stejného podnikatelského seskupení jako obchodník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prováděla audit nebo se podílela na provádění auditu osoby, která patří do stejného podnikatelského seskupení jako obchodník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byla vedoucí osobou osoby, která patří do stejného podnikatelského seskupení jako obchodník s cennými papíry, jehož zákazníkům se vyplácí náhrada z Fondu,</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sz w:val="14"/>
          <w:szCs w:val="14"/>
          <w:lang w:val="cs-CZ"/>
        </w:rPr>
      </w:pPr>
      <w:r w:rsidRPr="003F5186">
        <w:rPr>
          <w:rStyle w:val="ARIEL9"/>
          <w:sz w:val="14"/>
          <w:szCs w:val="14"/>
          <w:lang w:val="cs-CZ"/>
        </w:rPr>
        <w:t xml:space="preserve">osoba, ve které má </w:t>
      </w:r>
      <w:r w:rsidR="003F5186" w:rsidRPr="003F5186">
        <w:rPr>
          <w:rStyle w:val="ARIEL9"/>
          <w:sz w:val="14"/>
          <w:szCs w:val="14"/>
          <w:lang w:val="cs-CZ"/>
        </w:rPr>
        <w:t xml:space="preserve">nebo měl kdykoli během posledních 12 měsíců bezprostředně předcházejících dni, ve kterém bylo učiněno oznámení České národní banky dle odstavce </w:t>
      </w:r>
      <w:r w:rsidR="002E1D92" w:rsidRPr="003F5186">
        <w:rPr>
          <w:rStyle w:val="ARIEL9"/>
          <w:sz w:val="14"/>
          <w:szCs w:val="14"/>
          <w:lang w:val="cs-CZ"/>
        </w:rPr>
        <w:fldChar w:fldCharType="begin"/>
      </w:r>
      <w:r w:rsidR="003F5186" w:rsidRPr="003F5186">
        <w:rPr>
          <w:rStyle w:val="ARIEL9"/>
          <w:sz w:val="14"/>
          <w:szCs w:val="14"/>
          <w:lang w:val="cs-CZ"/>
        </w:rPr>
        <w:instrText xml:space="preserve"> REF _Ref192252665 \r \h </w:instrText>
      </w:r>
      <w:r w:rsidR="002E1D92" w:rsidRPr="003F5186">
        <w:rPr>
          <w:rStyle w:val="ARIEL9"/>
          <w:sz w:val="14"/>
          <w:szCs w:val="14"/>
          <w:lang w:val="cs-CZ"/>
        </w:rPr>
      </w:r>
      <w:r w:rsidR="002E1D92" w:rsidRPr="003F5186">
        <w:rPr>
          <w:rStyle w:val="ARIEL9"/>
          <w:sz w:val="14"/>
          <w:szCs w:val="14"/>
          <w:lang w:val="cs-CZ"/>
        </w:rPr>
        <w:fldChar w:fldCharType="separate"/>
      </w:r>
      <w:r w:rsidR="00994072">
        <w:rPr>
          <w:rStyle w:val="ARIEL9"/>
          <w:sz w:val="14"/>
          <w:szCs w:val="14"/>
          <w:lang w:val="cs-CZ"/>
        </w:rPr>
        <w:t>4.3</w:t>
      </w:r>
      <w:r w:rsidR="002E1D92" w:rsidRPr="003F5186">
        <w:rPr>
          <w:rStyle w:val="ARIEL9"/>
          <w:sz w:val="14"/>
          <w:szCs w:val="14"/>
          <w:lang w:val="cs-CZ"/>
        </w:rPr>
        <w:fldChar w:fldCharType="end"/>
      </w:r>
      <w:r w:rsidR="003F5186" w:rsidRPr="003F5186">
        <w:rPr>
          <w:rStyle w:val="ARIEL9"/>
          <w:sz w:val="14"/>
          <w:szCs w:val="14"/>
          <w:lang w:val="cs-CZ"/>
        </w:rPr>
        <w:t xml:space="preserve"> této Přílohy, </w:t>
      </w:r>
      <w:r w:rsidRPr="003F5186">
        <w:rPr>
          <w:rStyle w:val="ARIEL9"/>
          <w:sz w:val="14"/>
          <w:szCs w:val="14"/>
          <w:lang w:val="cs-CZ"/>
        </w:rPr>
        <w:t>obchodník s cennými papíry, jehož zákazníkům se vyplácí náhrada z Fondu, nebo osoba s kvalifikovanou účastí na tomto obchodníkovi s cennými papíry vyšší než 50% podíl na základním kapitálu nebo hlasovacích právech,</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sz w:val="14"/>
          <w:szCs w:val="14"/>
          <w:lang w:val="cs-CZ"/>
        </w:rPr>
      </w:pPr>
      <w:r w:rsidRPr="003F5186">
        <w:rPr>
          <w:rStyle w:val="ARIEL9"/>
          <w:sz w:val="14"/>
          <w:szCs w:val="14"/>
          <w:lang w:val="cs-CZ"/>
        </w:rPr>
        <w:t>osoba, která v souvislosti s legalizací výnosů z trestné činnosti svěřila obchodníkovi s cennými papíry, jehož zákazníkům se vyplácí náhrada z Fondu, prostředky získané trestným činem,</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sz w:val="14"/>
          <w:szCs w:val="14"/>
          <w:lang w:val="cs-CZ"/>
        </w:rPr>
      </w:pPr>
      <w:r w:rsidRPr="003F5186">
        <w:rPr>
          <w:rStyle w:val="ARIEL9"/>
          <w:sz w:val="14"/>
          <w:szCs w:val="14"/>
          <w:lang w:val="cs-CZ"/>
        </w:rPr>
        <w:lastRenderedPageBreak/>
        <w:t xml:space="preserve">osoba, která trestným činem způsobila neschopnost obchodníka s cennými papíry, jehož zákazníkům se vyplácí náhrada z Fondu, splnit své </w:t>
      </w:r>
      <w:r w:rsidR="00CC59B9">
        <w:rPr>
          <w:rStyle w:val="ARIEL9"/>
          <w:sz w:val="14"/>
          <w:szCs w:val="14"/>
          <w:lang w:val="cs-CZ"/>
        </w:rPr>
        <w:t>dluhy</w:t>
      </w:r>
      <w:r w:rsidRPr="003F5186">
        <w:rPr>
          <w:rStyle w:val="ARIEL9"/>
          <w:sz w:val="14"/>
          <w:szCs w:val="14"/>
          <w:lang w:val="cs-CZ"/>
        </w:rPr>
        <w:t xml:space="preserve"> vůči zákazníkům.</w:t>
      </w:r>
    </w:p>
    <w:p w:rsidR="003921B9" w:rsidRDefault="002B4148">
      <w:pPr>
        <w:pStyle w:val="Nadpis2"/>
        <w:numPr>
          <w:ilvl w:val="1"/>
          <w:numId w:val="24"/>
        </w:numPr>
        <w:spacing w:before="120" w:after="0"/>
        <w:ind w:left="426"/>
        <w:jc w:val="both"/>
        <w:rPr>
          <w:b w:val="0"/>
          <w:sz w:val="14"/>
          <w:szCs w:val="14"/>
        </w:rPr>
      </w:pPr>
      <w:r w:rsidRPr="0021745B">
        <w:rPr>
          <w:b w:val="0"/>
          <w:sz w:val="14"/>
          <w:szCs w:val="14"/>
        </w:rPr>
        <w:t>Dle ZPKT náhrada z Fondu musí být vyplacena do 3 měsíců ode dne ověření přihlášeného nároku a vypočtení výše náhrady. Česká národní banka může ve výjimečných případech na žádost Fondu prodloužit tuto lhůtu nejvýše o 3 měsíce.</w:t>
      </w:r>
    </w:p>
    <w:p w:rsidR="003921B9" w:rsidRDefault="002B4148">
      <w:pPr>
        <w:pStyle w:val="Nadpis2"/>
        <w:numPr>
          <w:ilvl w:val="1"/>
          <w:numId w:val="24"/>
        </w:numPr>
        <w:spacing w:before="120" w:after="0"/>
        <w:ind w:left="426"/>
        <w:jc w:val="both"/>
        <w:rPr>
          <w:b w:val="0"/>
          <w:sz w:val="14"/>
          <w:szCs w:val="14"/>
        </w:rPr>
      </w:pPr>
      <w:r w:rsidRPr="0021745B">
        <w:rPr>
          <w:b w:val="0"/>
          <w:sz w:val="14"/>
          <w:szCs w:val="14"/>
        </w:rPr>
        <w:t>V okamžiku výplaty náhrady přecházejí na Fond věřitelská práva zákazníka, kterému Fond vyplatil náhradu, a to do výše vyplacené náhrady. Pokud byla pohl</w:t>
      </w:r>
      <w:r w:rsidR="003F5186">
        <w:rPr>
          <w:b w:val="0"/>
          <w:sz w:val="14"/>
          <w:szCs w:val="14"/>
        </w:rPr>
        <w:t>edávka již přihlášena do konkurs</w:t>
      </w:r>
      <w:r w:rsidRPr="0021745B">
        <w:rPr>
          <w:b w:val="0"/>
          <w:sz w:val="14"/>
          <w:szCs w:val="14"/>
        </w:rPr>
        <w:t>u na majetek obchodníka s cennými papíry, stává se Fond stejným okamži</w:t>
      </w:r>
      <w:r w:rsidR="003F5186">
        <w:rPr>
          <w:b w:val="0"/>
          <w:sz w:val="14"/>
          <w:szCs w:val="14"/>
        </w:rPr>
        <w:t>kem a ve stejném rozsahu konkurs</w:t>
      </w:r>
      <w:r w:rsidRPr="0021745B">
        <w:rPr>
          <w:b w:val="0"/>
          <w:sz w:val="14"/>
          <w:szCs w:val="14"/>
        </w:rPr>
        <w:t>ním věřitelem obchodníka s cennými papíry v úpadku namísto zákazníka.</w:t>
      </w:r>
    </w:p>
    <w:p w:rsidR="003921B9" w:rsidRDefault="002B4148">
      <w:pPr>
        <w:pStyle w:val="Nadpis2"/>
        <w:numPr>
          <w:ilvl w:val="1"/>
          <w:numId w:val="24"/>
        </w:numPr>
        <w:spacing w:before="120" w:after="0"/>
        <w:ind w:left="426"/>
        <w:jc w:val="both"/>
        <w:rPr>
          <w:b w:val="0"/>
          <w:sz w:val="14"/>
          <w:szCs w:val="14"/>
        </w:rPr>
      </w:pPr>
      <w:r w:rsidRPr="0021745B">
        <w:rPr>
          <w:b w:val="0"/>
          <w:sz w:val="14"/>
          <w:szCs w:val="14"/>
        </w:rPr>
        <w:t>Právo zákazníka na plnění z Fondu se promlčuje uplynutím 5 let ode dne splatnosti pohledávky zákazníka na vyplacení náhrady z Fondu.</w:t>
      </w:r>
    </w:p>
    <w:p w:rsidR="003921B9" w:rsidRDefault="002B4148">
      <w:pPr>
        <w:pStyle w:val="Nadpis2"/>
        <w:numPr>
          <w:ilvl w:val="1"/>
          <w:numId w:val="24"/>
        </w:numPr>
        <w:spacing w:before="120" w:after="0"/>
        <w:ind w:left="426"/>
        <w:jc w:val="both"/>
        <w:rPr>
          <w:rStyle w:val="ARIEL9"/>
          <w:rFonts w:eastAsia="SimSun"/>
          <w:b w:val="0"/>
          <w:sz w:val="14"/>
          <w:szCs w:val="14"/>
          <w:lang w:eastAsia="zh-CN"/>
        </w:rPr>
      </w:pPr>
      <w:r w:rsidRPr="0021745B">
        <w:rPr>
          <w:b w:val="0"/>
          <w:sz w:val="14"/>
          <w:szCs w:val="14"/>
        </w:rPr>
        <w:t>Podrobnější informace je možno nalézt</w:t>
      </w:r>
      <w:r w:rsidRPr="0021745B">
        <w:rPr>
          <w:rStyle w:val="ARIEL9"/>
          <w:rFonts w:eastAsia="SimSun"/>
          <w:b w:val="0"/>
          <w:sz w:val="14"/>
          <w:szCs w:val="14"/>
        </w:rPr>
        <w:t xml:space="preserve"> v ZPKT nebo je na požádání poskytnou příslušní pracovníci Banky.</w:t>
      </w:r>
    </w:p>
    <w:p w:rsidR="003921B9" w:rsidRDefault="002B4148">
      <w:pPr>
        <w:pStyle w:val="Nadpis1"/>
        <w:keepNext/>
        <w:keepLines/>
        <w:numPr>
          <w:ilvl w:val="0"/>
          <w:numId w:val="16"/>
        </w:numPr>
        <w:overflowPunct/>
        <w:autoSpaceDE/>
        <w:autoSpaceDN/>
        <w:adjustRightInd/>
        <w:spacing w:after="0"/>
        <w:ind w:left="450" w:hanging="450"/>
        <w:jc w:val="both"/>
        <w:textAlignment w:val="auto"/>
        <w:rPr>
          <w:sz w:val="14"/>
          <w:szCs w:val="14"/>
        </w:rPr>
      </w:pPr>
      <w:r w:rsidRPr="003F5186">
        <w:rPr>
          <w:sz w:val="14"/>
          <w:szCs w:val="14"/>
        </w:rPr>
        <w:t xml:space="preserve">Informace o způsobu výpočtu konečné ceny </w:t>
      </w:r>
      <w:r w:rsidR="00112EC7">
        <w:rPr>
          <w:sz w:val="14"/>
          <w:szCs w:val="14"/>
        </w:rPr>
        <w:t>s</w:t>
      </w:r>
      <w:r w:rsidRPr="003F5186">
        <w:rPr>
          <w:sz w:val="14"/>
          <w:szCs w:val="14"/>
        </w:rPr>
        <w:t>lužeb, včetně všech poplatků, daní placených prostřednictvím Banky a jiných souvisejících nákladů, jakož i dalších finančních</w:t>
      </w:r>
      <w:r w:rsidR="00112EC7">
        <w:rPr>
          <w:sz w:val="14"/>
          <w:szCs w:val="14"/>
        </w:rPr>
        <w:t xml:space="preserve"> </w:t>
      </w:r>
      <w:r w:rsidR="00CC59B9">
        <w:rPr>
          <w:sz w:val="14"/>
          <w:szCs w:val="14"/>
        </w:rPr>
        <w:t>povinnostech</w:t>
      </w:r>
      <w:r w:rsidR="00112EC7">
        <w:rPr>
          <w:sz w:val="14"/>
          <w:szCs w:val="14"/>
        </w:rPr>
        <w:t xml:space="preserve">, </w:t>
      </w:r>
      <w:r w:rsidRPr="003F5186">
        <w:rPr>
          <w:sz w:val="14"/>
          <w:szCs w:val="14"/>
        </w:rPr>
        <w:t xml:space="preserve">vyplývajících z poskytnutí těchto </w:t>
      </w:r>
      <w:r w:rsidR="00112EC7">
        <w:rPr>
          <w:sz w:val="14"/>
          <w:szCs w:val="14"/>
        </w:rPr>
        <w:t>s</w:t>
      </w:r>
      <w:r w:rsidRPr="003F5186">
        <w:rPr>
          <w:sz w:val="14"/>
          <w:szCs w:val="14"/>
        </w:rPr>
        <w:t xml:space="preserve">lužeb a umožňujících </w:t>
      </w:r>
      <w:r w:rsidR="00112EC7">
        <w:rPr>
          <w:sz w:val="14"/>
          <w:szCs w:val="14"/>
        </w:rPr>
        <w:t>k</w:t>
      </w:r>
      <w:r w:rsidRPr="003F5186">
        <w:rPr>
          <w:sz w:val="14"/>
          <w:szCs w:val="14"/>
        </w:rPr>
        <w:t>lientovi ověřit si konečnou cenu</w:t>
      </w:r>
    </w:p>
    <w:p w:rsidR="003921B9" w:rsidRDefault="002B4148">
      <w:pPr>
        <w:pStyle w:val="Nadpis2"/>
        <w:spacing w:before="120" w:after="0"/>
        <w:ind w:left="448"/>
        <w:jc w:val="both"/>
        <w:rPr>
          <w:b w:val="0"/>
          <w:sz w:val="14"/>
          <w:szCs w:val="14"/>
        </w:rPr>
      </w:pPr>
      <w:r w:rsidRPr="003F5186">
        <w:rPr>
          <w:b w:val="0"/>
          <w:sz w:val="14"/>
          <w:szCs w:val="14"/>
        </w:rPr>
        <w:t xml:space="preserve">Informace o způsobu výpočtu konečné ceny </w:t>
      </w:r>
      <w:r w:rsidR="00112EC7">
        <w:rPr>
          <w:b w:val="0"/>
          <w:sz w:val="14"/>
          <w:szCs w:val="14"/>
        </w:rPr>
        <w:t>s</w:t>
      </w:r>
      <w:r w:rsidRPr="003F5186">
        <w:rPr>
          <w:b w:val="0"/>
          <w:sz w:val="14"/>
          <w:szCs w:val="14"/>
        </w:rPr>
        <w:t>lužeb poskytovaných dle této Smlouvy jsou uvedeny v </w:t>
      </w:r>
      <w:r w:rsidR="00112EC7">
        <w:rPr>
          <w:b w:val="0"/>
          <w:sz w:val="14"/>
          <w:szCs w:val="14"/>
        </w:rPr>
        <w:t>příslušné</w:t>
      </w:r>
      <w:r w:rsidRPr="003F5186">
        <w:rPr>
          <w:b w:val="0"/>
          <w:sz w:val="14"/>
          <w:szCs w:val="14"/>
        </w:rPr>
        <w:t xml:space="preserve"> </w:t>
      </w:r>
      <w:r w:rsidR="00112EC7">
        <w:rPr>
          <w:b w:val="0"/>
          <w:sz w:val="14"/>
          <w:szCs w:val="14"/>
        </w:rPr>
        <w:t>s</w:t>
      </w:r>
      <w:r w:rsidRPr="003F5186">
        <w:rPr>
          <w:b w:val="0"/>
          <w:sz w:val="14"/>
          <w:szCs w:val="14"/>
        </w:rPr>
        <w:t>mlouvě.</w:t>
      </w:r>
    </w:p>
    <w:p w:rsidR="003921B9" w:rsidRDefault="002B4148">
      <w:pPr>
        <w:pStyle w:val="Nadpis1"/>
        <w:keepNext/>
        <w:keepLines/>
        <w:numPr>
          <w:ilvl w:val="0"/>
          <w:numId w:val="16"/>
        </w:numPr>
        <w:tabs>
          <w:tab w:val="clear" w:pos="425"/>
        </w:tabs>
        <w:overflowPunct/>
        <w:autoSpaceDE/>
        <w:autoSpaceDN/>
        <w:adjustRightInd/>
        <w:spacing w:after="0"/>
        <w:ind w:left="426" w:hanging="426"/>
        <w:jc w:val="both"/>
        <w:textAlignment w:val="auto"/>
        <w:rPr>
          <w:sz w:val="14"/>
          <w:szCs w:val="14"/>
        </w:rPr>
      </w:pPr>
      <w:r w:rsidRPr="003F5186">
        <w:rPr>
          <w:sz w:val="14"/>
          <w:szCs w:val="14"/>
        </w:rPr>
        <w:t>Info</w:t>
      </w:r>
      <w:r w:rsidR="00296388">
        <w:rPr>
          <w:sz w:val="14"/>
          <w:szCs w:val="14"/>
        </w:rPr>
        <w:t>rmace o režimu ochrany majetku k</w:t>
      </w:r>
      <w:r w:rsidRPr="003F5186">
        <w:rPr>
          <w:sz w:val="14"/>
          <w:szCs w:val="14"/>
        </w:rPr>
        <w:t>lienta, zejména o existenci všech zajišťovacích nároků a práv a práva na zápoč</w:t>
      </w:r>
      <w:r w:rsidR="00B70A48">
        <w:rPr>
          <w:sz w:val="14"/>
          <w:szCs w:val="14"/>
        </w:rPr>
        <w:t xml:space="preserve">et, která má </w:t>
      </w:r>
      <w:r w:rsidR="00CC59B9">
        <w:rPr>
          <w:sz w:val="14"/>
          <w:szCs w:val="14"/>
        </w:rPr>
        <w:t>b</w:t>
      </w:r>
      <w:r w:rsidR="00B70A48">
        <w:rPr>
          <w:sz w:val="14"/>
          <w:szCs w:val="14"/>
        </w:rPr>
        <w:t>anka ve vztahu k n</w:t>
      </w:r>
      <w:r w:rsidRPr="003F5186">
        <w:rPr>
          <w:sz w:val="14"/>
          <w:szCs w:val="14"/>
        </w:rPr>
        <w:t xml:space="preserve">ástrojům nebo peněžním prostředkům </w:t>
      </w:r>
      <w:r w:rsidR="00B70A48">
        <w:rPr>
          <w:sz w:val="14"/>
          <w:szCs w:val="14"/>
        </w:rPr>
        <w:t>k</w:t>
      </w:r>
      <w:r w:rsidRPr="003F5186">
        <w:rPr>
          <w:sz w:val="14"/>
          <w:szCs w:val="14"/>
        </w:rPr>
        <w:t>lienta, včetně existence podobných práv a nároků ze strany schovatele, opatrovatele nebo osoby v obdobném postavení</w:t>
      </w:r>
    </w:p>
    <w:p w:rsidR="003921B9" w:rsidRDefault="002B4148">
      <w:pPr>
        <w:tabs>
          <w:tab w:val="num" w:pos="426"/>
        </w:tabs>
        <w:spacing w:before="120"/>
        <w:ind w:left="426"/>
        <w:jc w:val="both"/>
        <w:rPr>
          <w:sz w:val="14"/>
          <w:szCs w:val="14"/>
          <w:lang w:bidi="th-TH"/>
        </w:rPr>
      </w:pPr>
      <w:r w:rsidRPr="003F5186">
        <w:rPr>
          <w:sz w:val="14"/>
          <w:szCs w:val="14"/>
          <w:lang w:bidi="th-TH"/>
        </w:rPr>
        <w:t>Veškerá p</w:t>
      </w:r>
      <w:r w:rsidR="00B70A48">
        <w:rPr>
          <w:sz w:val="14"/>
          <w:szCs w:val="14"/>
          <w:lang w:bidi="th-TH"/>
        </w:rPr>
        <w:t>ráva Banky týkající se majetku k</w:t>
      </w:r>
      <w:r w:rsidRPr="003F5186">
        <w:rPr>
          <w:sz w:val="14"/>
          <w:szCs w:val="14"/>
          <w:lang w:bidi="th-TH"/>
        </w:rPr>
        <w:t>lienta</w:t>
      </w:r>
      <w:r w:rsidRPr="0021745B">
        <w:rPr>
          <w:sz w:val="14"/>
          <w:szCs w:val="14"/>
          <w:lang w:bidi="th-TH"/>
        </w:rPr>
        <w:t>, zejmé</w:t>
      </w:r>
      <w:r w:rsidR="00B70A48">
        <w:rPr>
          <w:sz w:val="14"/>
          <w:szCs w:val="14"/>
          <w:lang w:bidi="th-TH"/>
        </w:rPr>
        <w:t>na týkající se práv Banky vůči k</w:t>
      </w:r>
      <w:r w:rsidRPr="0021745B">
        <w:rPr>
          <w:sz w:val="14"/>
          <w:szCs w:val="14"/>
          <w:lang w:bidi="th-TH"/>
        </w:rPr>
        <w:t>lientovi na zápočet,</w:t>
      </w:r>
      <w:r w:rsidR="00B70A48">
        <w:rPr>
          <w:sz w:val="14"/>
          <w:szCs w:val="14"/>
          <w:lang w:bidi="th-TH"/>
        </w:rPr>
        <w:t xml:space="preserve"> zajištění pohledávek Banky za k</w:t>
      </w:r>
      <w:r w:rsidRPr="0021745B">
        <w:rPr>
          <w:sz w:val="14"/>
          <w:szCs w:val="14"/>
          <w:lang w:bidi="th-TH"/>
        </w:rPr>
        <w:t xml:space="preserve">lientem vyplývajících z poskytnutých </w:t>
      </w:r>
      <w:r w:rsidR="00B70A48">
        <w:rPr>
          <w:sz w:val="14"/>
          <w:szCs w:val="14"/>
          <w:lang w:bidi="th-TH"/>
        </w:rPr>
        <w:t>s</w:t>
      </w:r>
      <w:r w:rsidRPr="0021745B">
        <w:rPr>
          <w:sz w:val="14"/>
          <w:szCs w:val="14"/>
          <w:lang w:bidi="th-TH"/>
        </w:rPr>
        <w:t xml:space="preserve">lužeb, jsou uvedeny v </w:t>
      </w:r>
      <w:r w:rsidR="00B70A48">
        <w:rPr>
          <w:sz w:val="14"/>
          <w:szCs w:val="14"/>
          <w:lang w:bidi="th-TH"/>
        </w:rPr>
        <w:t>příslušné</w:t>
      </w:r>
      <w:r w:rsidRPr="0021745B">
        <w:rPr>
          <w:sz w:val="14"/>
          <w:szCs w:val="14"/>
          <w:lang w:bidi="th-TH"/>
        </w:rPr>
        <w:t xml:space="preserve"> </w:t>
      </w:r>
      <w:r w:rsidR="00B70A48">
        <w:rPr>
          <w:sz w:val="14"/>
          <w:szCs w:val="14"/>
          <w:lang w:bidi="th-TH"/>
        </w:rPr>
        <w:t>s</w:t>
      </w:r>
      <w:r w:rsidRPr="0021745B">
        <w:rPr>
          <w:sz w:val="14"/>
          <w:szCs w:val="14"/>
          <w:lang w:bidi="th-TH"/>
        </w:rPr>
        <w:t xml:space="preserve">mlouvě a </w:t>
      </w:r>
      <w:r w:rsidR="00141302" w:rsidRPr="00141302">
        <w:rPr>
          <w:sz w:val="14"/>
          <w:szCs w:val="14"/>
          <w:lang w:bidi="th-TH"/>
        </w:rPr>
        <w:t>v</w:t>
      </w:r>
      <w:r w:rsidRPr="00141302">
        <w:rPr>
          <w:sz w:val="14"/>
          <w:szCs w:val="14"/>
          <w:lang w:bidi="th-TH"/>
        </w:rPr>
        <w:t xml:space="preserve">šeobecných </w:t>
      </w:r>
      <w:r w:rsidR="00141302" w:rsidRPr="00141302">
        <w:rPr>
          <w:sz w:val="14"/>
          <w:szCs w:val="14"/>
          <w:lang w:bidi="th-TH"/>
        </w:rPr>
        <w:t xml:space="preserve">obchodních </w:t>
      </w:r>
      <w:r w:rsidRPr="00141302">
        <w:rPr>
          <w:sz w:val="14"/>
          <w:szCs w:val="14"/>
          <w:lang w:bidi="th-TH"/>
        </w:rPr>
        <w:t>podmínkách</w:t>
      </w:r>
      <w:r w:rsidR="00141302">
        <w:rPr>
          <w:sz w:val="14"/>
          <w:szCs w:val="14"/>
          <w:lang w:bidi="th-TH"/>
        </w:rPr>
        <w:t xml:space="preserve"> Banky</w:t>
      </w:r>
      <w:r w:rsidRPr="0021745B">
        <w:rPr>
          <w:sz w:val="14"/>
          <w:szCs w:val="14"/>
          <w:lang w:bidi="th-TH"/>
        </w:rPr>
        <w:t>.</w:t>
      </w:r>
    </w:p>
    <w:p w:rsidR="003921B9" w:rsidRDefault="002B4148">
      <w:pPr>
        <w:pStyle w:val="Nadpis1"/>
        <w:keepNext/>
        <w:keepLines/>
        <w:numPr>
          <w:ilvl w:val="0"/>
          <w:numId w:val="16"/>
        </w:numPr>
        <w:overflowPunct/>
        <w:autoSpaceDE/>
        <w:autoSpaceDN/>
        <w:adjustRightInd/>
        <w:spacing w:after="0"/>
        <w:jc w:val="both"/>
        <w:textAlignment w:val="auto"/>
        <w:rPr>
          <w:sz w:val="14"/>
          <w:szCs w:val="14"/>
        </w:rPr>
      </w:pPr>
      <w:bookmarkStart w:id="3" w:name="_Ref367872217"/>
      <w:r w:rsidRPr="0021745B">
        <w:rPr>
          <w:sz w:val="14"/>
          <w:szCs w:val="14"/>
        </w:rPr>
        <w:t>Informace o kategoriích klientů a přestupu mezi jednotlivými kategoriemi</w:t>
      </w:r>
      <w:bookmarkEnd w:id="3"/>
    </w:p>
    <w:p w:rsidR="003921B9" w:rsidRDefault="002B4148" w:rsidP="00955663">
      <w:pPr>
        <w:pStyle w:val="Nadpis2"/>
        <w:numPr>
          <w:ilvl w:val="1"/>
          <w:numId w:val="79"/>
        </w:numPr>
        <w:spacing w:before="120" w:after="0"/>
        <w:ind w:left="426" w:hanging="426"/>
        <w:jc w:val="both"/>
        <w:rPr>
          <w:b w:val="0"/>
          <w:bCs/>
          <w:sz w:val="14"/>
          <w:szCs w:val="14"/>
        </w:rPr>
      </w:pPr>
      <w:r w:rsidRPr="0021745B">
        <w:rPr>
          <w:b w:val="0"/>
          <w:bCs/>
          <w:sz w:val="14"/>
          <w:szCs w:val="14"/>
        </w:rPr>
        <w:t>Definice</w:t>
      </w:r>
    </w:p>
    <w:p w:rsidR="003921B9" w:rsidRDefault="002B4148">
      <w:pPr>
        <w:tabs>
          <w:tab w:val="left" w:pos="567"/>
        </w:tabs>
        <w:spacing w:before="120"/>
        <w:ind w:left="425"/>
        <w:jc w:val="both"/>
        <w:rPr>
          <w:bCs/>
          <w:sz w:val="14"/>
          <w:szCs w:val="14"/>
        </w:rPr>
      </w:pPr>
      <w:r w:rsidRPr="0021745B">
        <w:rPr>
          <w:bCs/>
          <w:sz w:val="14"/>
          <w:szCs w:val="14"/>
        </w:rPr>
        <w:t xml:space="preserve">Pojmy s velkým počátečním písmenem mají pro účely článku </w:t>
      </w:r>
      <w:r w:rsidR="002E1D92">
        <w:rPr>
          <w:bCs/>
          <w:sz w:val="14"/>
          <w:szCs w:val="14"/>
        </w:rPr>
        <w:fldChar w:fldCharType="begin"/>
      </w:r>
      <w:r w:rsidR="00090DC3">
        <w:rPr>
          <w:bCs/>
          <w:sz w:val="14"/>
          <w:szCs w:val="14"/>
        </w:rPr>
        <w:instrText xml:space="preserve"> REF _Ref367872217 \r \h </w:instrText>
      </w:r>
      <w:r w:rsidR="002E1D92">
        <w:rPr>
          <w:bCs/>
          <w:sz w:val="14"/>
          <w:szCs w:val="14"/>
        </w:rPr>
      </w:r>
      <w:r w:rsidR="002E1D92">
        <w:rPr>
          <w:bCs/>
          <w:sz w:val="14"/>
          <w:szCs w:val="14"/>
        </w:rPr>
        <w:fldChar w:fldCharType="separate"/>
      </w:r>
      <w:r w:rsidR="00994072">
        <w:rPr>
          <w:bCs/>
          <w:sz w:val="14"/>
          <w:szCs w:val="14"/>
        </w:rPr>
        <w:t>7</w:t>
      </w:r>
      <w:r w:rsidR="002E1D92">
        <w:rPr>
          <w:bCs/>
          <w:sz w:val="14"/>
          <w:szCs w:val="14"/>
        </w:rPr>
        <w:fldChar w:fldCharType="end"/>
      </w:r>
      <w:r w:rsidRPr="0021745B">
        <w:rPr>
          <w:bCs/>
          <w:sz w:val="14"/>
          <w:szCs w:val="14"/>
        </w:rPr>
        <w:t>:</w:t>
      </w:r>
    </w:p>
    <w:p w:rsidR="003921B9" w:rsidRDefault="002B4148">
      <w:pPr>
        <w:tabs>
          <w:tab w:val="left" w:pos="567"/>
        </w:tabs>
        <w:spacing w:before="120"/>
        <w:ind w:left="425"/>
        <w:jc w:val="both"/>
        <w:rPr>
          <w:bCs/>
          <w:sz w:val="14"/>
          <w:szCs w:val="14"/>
        </w:rPr>
      </w:pPr>
      <w:r w:rsidRPr="0021745B">
        <w:rPr>
          <w:bCs/>
          <w:sz w:val="14"/>
          <w:szCs w:val="14"/>
        </w:rPr>
        <w:t>„</w:t>
      </w:r>
      <w:r w:rsidRPr="0021745B">
        <w:rPr>
          <w:rStyle w:val="StylTun"/>
          <w:sz w:val="14"/>
          <w:szCs w:val="14"/>
        </w:rPr>
        <w:t>Neprofesionální zákazník</w:t>
      </w:r>
      <w:r w:rsidRPr="0021745B">
        <w:rPr>
          <w:bCs/>
          <w:sz w:val="14"/>
          <w:szCs w:val="14"/>
        </w:rPr>
        <w:t xml:space="preserve">” je klient, který </w:t>
      </w:r>
      <w:r w:rsidRPr="0021745B">
        <w:rPr>
          <w:sz w:val="14"/>
          <w:szCs w:val="14"/>
        </w:rPr>
        <w:t>není</w:t>
      </w:r>
      <w:r w:rsidRPr="0021745B">
        <w:rPr>
          <w:bCs/>
          <w:sz w:val="14"/>
          <w:szCs w:val="14"/>
        </w:rPr>
        <w:t xml:space="preserve"> zařazen v kategoriích Profesionální zákazník, Profesionální zákazník na žádost, Způsobilá protistrana ani Způsobilá protistrana na žádost.</w:t>
      </w:r>
    </w:p>
    <w:p w:rsidR="003921B9" w:rsidRDefault="002B4148">
      <w:pPr>
        <w:tabs>
          <w:tab w:val="left" w:pos="567"/>
        </w:tabs>
        <w:spacing w:before="120"/>
        <w:ind w:left="425"/>
        <w:jc w:val="both"/>
        <w:rPr>
          <w:color w:val="000000"/>
          <w:sz w:val="14"/>
          <w:szCs w:val="14"/>
        </w:rPr>
      </w:pPr>
      <w:r w:rsidRPr="0021745B">
        <w:rPr>
          <w:color w:val="000000"/>
          <w:sz w:val="14"/>
          <w:szCs w:val="14"/>
        </w:rPr>
        <w:t>„</w:t>
      </w:r>
      <w:r w:rsidRPr="0021745B">
        <w:rPr>
          <w:b/>
          <w:bCs/>
          <w:color w:val="000000"/>
          <w:sz w:val="14"/>
          <w:szCs w:val="14"/>
        </w:rPr>
        <w:t>Povinnosti v nejširším rozsahu</w:t>
      </w:r>
      <w:r w:rsidRPr="0021745B">
        <w:rPr>
          <w:color w:val="000000"/>
          <w:sz w:val="14"/>
          <w:szCs w:val="14"/>
        </w:rPr>
        <w:t xml:space="preserve">“ jsou (i) </w:t>
      </w:r>
      <w:r w:rsidRPr="0021745B">
        <w:rPr>
          <w:sz w:val="14"/>
          <w:szCs w:val="14"/>
        </w:rPr>
        <w:t>obecné</w:t>
      </w:r>
      <w:r w:rsidRPr="0021745B">
        <w:rPr>
          <w:color w:val="000000"/>
          <w:sz w:val="14"/>
          <w:szCs w:val="14"/>
        </w:rPr>
        <w:t xml:space="preserve"> povinnosti, které Banka dodržuje při jednání s klienty, povinnosti týkající se informování klientů a provádění pokynů za nejlepších podmínek; a (</w:t>
      </w:r>
      <w:proofErr w:type="spellStart"/>
      <w:r w:rsidRPr="0021745B">
        <w:rPr>
          <w:color w:val="000000"/>
          <w:sz w:val="14"/>
          <w:szCs w:val="14"/>
        </w:rPr>
        <w:t>ii</w:t>
      </w:r>
      <w:proofErr w:type="spellEnd"/>
      <w:r w:rsidRPr="0021745B">
        <w:rPr>
          <w:color w:val="000000"/>
          <w:sz w:val="14"/>
          <w:szCs w:val="14"/>
        </w:rPr>
        <w:t xml:space="preserve">) komunikace s klienty, vyžadování informací od klientů, zpracovávání pokynů a informování klientů o pokynech a stavu majetku klientů. Rozsah povinností </w:t>
      </w:r>
      <w:r w:rsidRPr="0021745B">
        <w:rPr>
          <w:bCs/>
          <w:sz w:val="14"/>
          <w:szCs w:val="14"/>
        </w:rPr>
        <w:t>uvedených</w:t>
      </w:r>
      <w:r w:rsidRPr="0021745B">
        <w:rPr>
          <w:color w:val="000000"/>
          <w:sz w:val="14"/>
          <w:szCs w:val="14"/>
        </w:rPr>
        <w:t xml:space="preserve"> v kategorii (</w:t>
      </w:r>
      <w:proofErr w:type="spellStart"/>
      <w:r w:rsidRPr="0021745B">
        <w:rPr>
          <w:color w:val="000000"/>
          <w:sz w:val="14"/>
          <w:szCs w:val="14"/>
        </w:rPr>
        <w:t>ii</w:t>
      </w:r>
      <w:proofErr w:type="spellEnd"/>
      <w:r w:rsidRPr="0021745B">
        <w:rPr>
          <w:color w:val="000000"/>
          <w:sz w:val="14"/>
          <w:szCs w:val="14"/>
        </w:rPr>
        <w:t>) je vyšší než rozsah těchto povinností v případě Povinností v užším rozsahu.</w:t>
      </w:r>
    </w:p>
    <w:p w:rsidR="003921B9" w:rsidRDefault="002B4148">
      <w:pPr>
        <w:tabs>
          <w:tab w:val="left" w:pos="567"/>
        </w:tabs>
        <w:spacing w:before="120"/>
        <w:ind w:left="425"/>
        <w:jc w:val="both"/>
        <w:rPr>
          <w:color w:val="000000"/>
          <w:sz w:val="14"/>
          <w:szCs w:val="14"/>
        </w:rPr>
      </w:pPr>
      <w:r w:rsidRPr="0021745B">
        <w:rPr>
          <w:color w:val="000000"/>
          <w:sz w:val="14"/>
          <w:szCs w:val="14"/>
          <w:lang w:eastAsia="en-US"/>
        </w:rPr>
        <w:t>„</w:t>
      </w:r>
      <w:r w:rsidRPr="0021745B">
        <w:rPr>
          <w:b/>
          <w:bCs/>
          <w:color w:val="000000"/>
          <w:sz w:val="14"/>
          <w:szCs w:val="14"/>
          <w:lang w:eastAsia="en-US"/>
        </w:rPr>
        <w:t>Povinnosti v užším rozsahu</w:t>
      </w:r>
      <w:r w:rsidRPr="0021745B">
        <w:rPr>
          <w:color w:val="000000"/>
          <w:sz w:val="14"/>
          <w:szCs w:val="14"/>
          <w:lang w:eastAsia="en-US"/>
        </w:rPr>
        <w:t xml:space="preserve">“ </w:t>
      </w:r>
      <w:r w:rsidRPr="0021745B">
        <w:rPr>
          <w:color w:val="000000"/>
          <w:sz w:val="14"/>
          <w:szCs w:val="14"/>
        </w:rPr>
        <w:t>jsou (i) obecné povinnosti, které Banka dodržuje při jednání s klienty, povinnosti týkající se informování klientů a provádění pokynů za nejlepších podmínek; a (</w:t>
      </w:r>
      <w:proofErr w:type="spellStart"/>
      <w:r w:rsidRPr="0021745B">
        <w:rPr>
          <w:color w:val="000000"/>
          <w:sz w:val="14"/>
          <w:szCs w:val="14"/>
        </w:rPr>
        <w:t>ii</w:t>
      </w:r>
      <w:proofErr w:type="spellEnd"/>
      <w:r w:rsidRPr="0021745B">
        <w:rPr>
          <w:color w:val="000000"/>
          <w:sz w:val="14"/>
          <w:szCs w:val="14"/>
        </w:rPr>
        <w:t xml:space="preserve">) komunikace s klienty, vyžadování informací od klientů, </w:t>
      </w:r>
      <w:r w:rsidRPr="0021745B">
        <w:rPr>
          <w:bCs/>
          <w:sz w:val="14"/>
          <w:szCs w:val="14"/>
        </w:rPr>
        <w:t>zpracovávání</w:t>
      </w:r>
      <w:r w:rsidRPr="0021745B">
        <w:rPr>
          <w:color w:val="000000"/>
          <w:sz w:val="14"/>
          <w:szCs w:val="14"/>
        </w:rPr>
        <w:t xml:space="preserve"> pokynů a informování klientů o pokynech a stavu majetku klientů. Rozsah povinností uvedených v kategorii (</w:t>
      </w:r>
      <w:proofErr w:type="spellStart"/>
      <w:r w:rsidRPr="0021745B">
        <w:rPr>
          <w:color w:val="000000"/>
          <w:sz w:val="14"/>
          <w:szCs w:val="14"/>
        </w:rPr>
        <w:t>ii</w:t>
      </w:r>
      <w:proofErr w:type="spellEnd"/>
      <w:r w:rsidRPr="0021745B">
        <w:rPr>
          <w:color w:val="000000"/>
          <w:sz w:val="14"/>
          <w:szCs w:val="14"/>
        </w:rPr>
        <w:t>) je nižší než rozsah těchto povinností v případě Povinností v nejširším rozsahu.</w:t>
      </w:r>
    </w:p>
    <w:p w:rsidR="003921B9" w:rsidRDefault="002B4148">
      <w:pPr>
        <w:tabs>
          <w:tab w:val="left" w:pos="567"/>
        </w:tabs>
        <w:spacing w:before="120"/>
        <w:ind w:left="425"/>
        <w:jc w:val="both"/>
        <w:rPr>
          <w:bCs/>
          <w:color w:val="000000"/>
          <w:sz w:val="14"/>
          <w:szCs w:val="14"/>
        </w:rPr>
      </w:pPr>
      <w:r w:rsidRPr="0021745B">
        <w:rPr>
          <w:color w:val="000000"/>
          <w:sz w:val="14"/>
          <w:szCs w:val="14"/>
        </w:rPr>
        <w:t>„</w:t>
      </w:r>
      <w:r w:rsidRPr="0021745B">
        <w:rPr>
          <w:b/>
          <w:bCs/>
          <w:color w:val="000000"/>
          <w:sz w:val="14"/>
          <w:szCs w:val="14"/>
        </w:rPr>
        <w:t>Profesionální zákazník</w:t>
      </w:r>
      <w:r w:rsidRPr="0021745B">
        <w:rPr>
          <w:color w:val="000000"/>
          <w:sz w:val="14"/>
          <w:szCs w:val="14"/>
        </w:rPr>
        <w:t xml:space="preserve">” je klient, který je právnickou osobou založenou za účelem podnikání, která podle poslední účetní závěrky splňuje alespoň dvě ze tří následujících kritérií (i) celková výše jeho aktiv odpovídá částce alespoň 20 000 000 </w:t>
      </w:r>
      <w:r w:rsidRPr="0021745B">
        <w:rPr>
          <w:color w:val="000000"/>
          <w:sz w:val="14"/>
          <w:szCs w:val="14"/>
        </w:rPr>
        <w:lastRenderedPageBreak/>
        <w:t>EUR, (</w:t>
      </w:r>
      <w:proofErr w:type="spellStart"/>
      <w:r w:rsidRPr="0021745B">
        <w:rPr>
          <w:color w:val="000000"/>
          <w:sz w:val="14"/>
          <w:szCs w:val="14"/>
        </w:rPr>
        <w:t>ii</w:t>
      </w:r>
      <w:proofErr w:type="spellEnd"/>
      <w:r w:rsidRPr="0021745B">
        <w:rPr>
          <w:color w:val="000000"/>
          <w:sz w:val="14"/>
          <w:szCs w:val="14"/>
        </w:rPr>
        <w:t>) jeho čistý roční obrat odpovídá částce alespoň 40 000 000 EUR, (</w:t>
      </w:r>
      <w:proofErr w:type="spellStart"/>
      <w:r w:rsidRPr="0021745B">
        <w:rPr>
          <w:color w:val="000000"/>
          <w:sz w:val="14"/>
          <w:szCs w:val="14"/>
        </w:rPr>
        <w:t>iii</w:t>
      </w:r>
      <w:proofErr w:type="spellEnd"/>
      <w:r w:rsidRPr="0021745B">
        <w:rPr>
          <w:color w:val="000000"/>
          <w:sz w:val="14"/>
          <w:szCs w:val="14"/>
        </w:rPr>
        <w:t>) jeho vlastní kapitál odpovídá částce alespoň 2 000 000 EUR. Profesionální zákazník má potřeb</w:t>
      </w:r>
      <w:r w:rsidRPr="0021745B">
        <w:rPr>
          <w:bCs/>
          <w:color w:val="000000"/>
          <w:sz w:val="14"/>
          <w:szCs w:val="14"/>
        </w:rPr>
        <w:t xml:space="preserve">né odborné znalosti a zkušenosti v oblasti investic k </w:t>
      </w:r>
      <w:r w:rsidRPr="0021745B">
        <w:rPr>
          <w:color w:val="000000"/>
          <w:sz w:val="14"/>
          <w:szCs w:val="14"/>
        </w:rPr>
        <w:t>tomu</w:t>
      </w:r>
      <w:r w:rsidRPr="0021745B">
        <w:rPr>
          <w:bCs/>
          <w:color w:val="000000"/>
          <w:sz w:val="14"/>
          <w:szCs w:val="14"/>
        </w:rPr>
        <w:t xml:space="preserve">, aby činil vlastní investiční rozhodnutí a řádně vyhodnocoval rizika, která v souvislosti se </w:t>
      </w:r>
      <w:r w:rsidR="00B70A48">
        <w:rPr>
          <w:bCs/>
          <w:color w:val="000000"/>
          <w:sz w:val="14"/>
          <w:szCs w:val="14"/>
        </w:rPr>
        <w:t>s</w:t>
      </w:r>
      <w:r w:rsidRPr="0021745B">
        <w:rPr>
          <w:bCs/>
          <w:color w:val="000000"/>
          <w:sz w:val="14"/>
          <w:szCs w:val="14"/>
        </w:rPr>
        <w:t>lužbou nebo obchodem s</w:t>
      </w:r>
      <w:r w:rsidR="00B70A48">
        <w:rPr>
          <w:bCs/>
          <w:color w:val="000000"/>
          <w:sz w:val="14"/>
          <w:szCs w:val="14"/>
        </w:rPr>
        <w:t> investičním n</w:t>
      </w:r>
      <w:r w:rsidRPr="0021745B">
        <w:rPr>
          <w:bCs/>
          <w:color w:val="000000"/>
          <w:sz w:val="14"/>
          <w:szCs w:val="14"/>
        </w:rPr>
        <w:t>ástrojem podstupuje a ve vztahu k investičnímu poradenství má dostatečné finanční zázemí k tomu, aby podstupoval související investiční rizika odpovídající jeho investičním cílům.</w:t>
      </w:r>
    </w:p>
    <w:p w:rsidR="003921B9" w:rsidRDefault="002B4148">
      <w:pPr>
        <w:tabs>
          <w:tab w:val="left" w:pos="567"/>
        </w:tabs>
        <w:spacing w:before="120"/>
        <w:ind w:left="425"/>
        <w:jc w:val="both"/>
        <w:rPr>
          <w:color w:val="000000"/>
          <w:sz w:val="14"/>
          <w:szCs w:val="14"/>
        </w:rPr>
      </w:pPr>
      <w:r w:rsidRPr="0021745B">
        <w:rPr>
          <w:color w:val="000000"/>
          <w:sz w:val="14"/>
          <w:szCs w:val="14"/>
        </w:rPr>
        <w:t>„</w:t>
      </w:r>
      <w:r w:rsidRPr="0021745B">
        <w:rPr>
          <w:b/>
          <w:bCs/>
          <w:color w:val="000000"/>
          <w:sz w:val="14"/>
          <w:szCs w:val="14"/>
        </w:rPr>
        <w:t>Profesionální zákazník na žádost</w:t>
      </w:r>
      <w:r w:rsidRPr="0021745B">
        <w:rPr>
          <w:color w:val="000000"/>
          <w:sz w:val="14"/>
          <w:szCs w:val="14"/>
        </w:rPr>
        <w:t>” je klient, kterému byl udělen souhlas Banky se zařazením do kategorie Profesionálních zákazníků na žádost. Profesionální zák</w:t>
      </w:r>
      <w:r w:rsidR="00B70A48">
        <w:rPr>
          <w:color w:val="000000"/>
          <w:sz w:val="14"/>
          <w:szCs w:val="14"/>
        </w:rPr>
        <w:t>azník na žádost má vzhledem ke s</w:t>
      </w:r>
      <w:r w:rsidRPr="0021745B">
        <w:rPr>
          <w:color w:val="000000"/>
          <w:sz w:val="14"/>
          <w:szCs w:val="14"/>
        </w:rPr>
        <w:t>lužbě nebo k obchodu s</w:t>
      </w:r>
      <w:r w:rsidR="00B70A48">
        <w:rPr>
          <w:color w:val="000000"/>
          <w:sz w:val="14"/>
          <w:szCs w:val="14"/>
        </w:rPr>
        <w:t> investičním n</w:t>
      </w:r>
      <w:r w:rsidRPr="0021745B">
        <w:rPr>
          <w:color w:val="000000"/>
          <w:sz w:val="14"/>
          <w:szCs w:val="14"/>
        </w:rPr>
        <w:t xml:space="preserve">ástrojem, ohledně kterých byl Bankou zařazen do této kategorie, potřebné zkušenosti v oblasti investic do </w:t>
      </w:r>
      <w:r w:rsidR="00B70A48">
        <w:rPr>
          <w:color w:val="000000"/>
          <w:sz w:val="14"/>
          <w:szCs w:val="14"/>
        </w:rPr>
        <w:t>investičních n</w:t>
      </w:r>
      <w:r w:rsidRPr="0021745B">
        <w:rPr>
          <w:color w:val="000000"/>
          <w:sz w:val="14"/>
          <w:szCs w:val="14"/>
        </w:rPr>
        <w:t xml:space="preserve">ástrojů a odborné znalosti </w:t>
      </w:r>
      <w:r w:rsidRPr="0021745B">
        <w:rPr>
          <w:bCs/>
          <w:color w:val="000000"/>
          <w:sz w:val="14"/>
          <w:szCs w:val="14"/>
        </w:rPr>
        <w:t>k tomu, aby činil vlastní</w:t>
      </w:r>
      <w:r w:rsidRPr="0021745B">
        <w:rPr>
          <w:color w:val="000000"/>
          <w:sz w:val="14"/>
          <w:szCs w:val="14"/>
        </w:rPr>
        <w:t xml:space="preserve"> investiční rozhodnutí a chápal vešker</w:t>
      </w:r>
      <w:r w:rsidR="00B70A48">
        <w:rPr>
          <w:color w:val="000000"/>
          <w:sz w:val="14"/>
          <w:szCs w:val="14"/>
        </w:rPr>
        <w:t>á rizika související s takovou s</w:t>
      </w:r>
      <w:r w:rsidRPr="0021745B">
        <w:rPr>
          <w:color w:val="000000"/>
          <w:sz w:val="14"/>
          <w:szCs w:val="14"/>
        </w:rPr>
        <w:t>lužbou.</w:t>
      </w:r>
    </w:p>
    <w:p w:rsidR="003921B9" w:rsidRDefault="002B4148">
      <w:pPr>
        <w:tabs>
          <w:tab w:val="left" w:pos="567"/>
        </w:tabs>
        <w:spacing w:before="120"/>
        <w:ind w:left="425"/>
        <w:jc w:val="both"/>
        <w:rPr>
          <w:bCs/>
          <w:color w:val="000000"/>
          <w:sz w:val="14"/>
          <w:szCs w:val="14"/>
        </w:rPr>
      </w:pPr>
      <w:r w:rsidRPr="0021745B">
        <w:rPr>
          <w:color w:val="000000"/>
          <w:sz w:val="14"/>
          <w:szCs w:val="14"/>
        </w:rPr>
        <w:t>„</w:t>
      </w:r>
      <w:r w:rsidRPr="0021745B">
        <w:rPr>
          <w:b/>
          <w:bCs/>
          <w:color w:val="000000"/>
          <w:sz w:val="14"/>
          <w:szCs w:val="14"/>
        </w:rPr>
        <w:t>Způsobilá protistrana</w:t>
      </w:r>
      <w:r w:rsidRPr="0021745B">
        <w:rPr>
          <w:color w:val="000000"/>
          <w:sz w:val="14"/>
          <w:szCs w:val="14"/>
        </w:rPr>
        <w:t>” je klient, který je jedním z následujících subjektů: (i) banka nebo instituce elektronických peněz, (</w:t>
      </w:r>
      <w:proofErr w:type="spellStart"/>
      <w:r w:rsidRPr="0021745B">
        <w:rPr>
          <w:color w:val="000000"/>
          <w:sz w:val="14"/>
          <w:szCs w:val="14"/>
        </w:rPr>
        <w:t>ii</w:t>
      </w:r>
      <w:proofErr w:type="spellEnd"/>
      <w:r w:rsidRPr="0021745B">
        <w:rPr>
          <w:color w:val="000000"/>
          <w:sz w:val="14"/>
          <w:szCs w:val="14"/>
        </w:rPr>
        <w:t>) spořitelní nebo úvěrní družstvo, (</w:t>
      </w:r>
      <w:proofErr w:type="spellStart"/>
      <w:r w:rsidRPr="0021745B">
        <w:rPr>
          <w:color w:val="000000"/>
          <w:sz w:val="14"/>
          <w:szCs w:val="14"/>
        </w:rPr>
        <w:t>iii</w:t>
      </w:r>
      <w:proofErr w:type="spellEnd"/>
      <w:r w:rsidRPr="0021745B">
        <w:rPr>
          <w:color w:val="000000"/>
          <w:sz w:val="14"/>
          <w:szCs w:val="14"/>
        </w:rPr>
        <w:t>) obchodník s cennými papíry, (</w:t>
      </w:r>
      <w:proofErr w:type="spellStart"/>
      <w:r w:rsidRPr="0021745B">
        <w:rPr>
          <w:color w:val="000000"/>
          <w:sz w:val="14"/>
          <w:szCs w:val="14"/>
        </w:rPr>
        <w:t>iv</w:t>
      </w:r>
      <w:proofErr w:type="spellEnd"/>
      <w:r w:rsidRPr="0021745B">
        <w:rPr>
          <w:color w:val="000000"/>
          <w:sz w:val="14"/>
          <w:szCs w:val="14"/>
        </w:rPr>
        <w:t>) pojišťovna, (v) zajišťovna, (</w:t>
      </w:r>
      <w:proofErr w:type="spellStart"/>
      <w:r w:rsidRPr="0021745B">
        <w:rPr>
          <w:color w:val="000000"/>
          <w:sz w:val="14"/>
          <w:szCs w:val="14"/>
        </w:rPr>
        <w:t>vi</w:t>
      </w:r>
      <w:proofErr w:type="spellEnd"/>
      <w:r w:rsidRPr="0021745B">
        <w:rPr>
          <w:color w:val="000000"/>
          <w:sz w:val="14"/>
          <w:szCs w:val="14"/>
        </w:rPr>
        <w:t>) investiční společnost, (</w:t>
      </w:r>
      <w:proofErr w:type="spellStart"/>
      <w:r w:rsidRPr="0021745B">
        <w:rPr>
          <w:color w:val="000000"/>
          <w:sz w:val="14"/>
          <w:szCs w:val="14"/>
        </w:rPr>
        <w:t>vii</w:t>
      </w:r>
      <w:proofErr w:type="spellEnd"/>
      <w:r w:rsidRPr="0021745B">
        <w:rPr>
          <w:color w:val="000000"/>
          <w:sz w:val="14"/>
          <w:szCs w:val="14"/>
        </w:rPr>
        <w:t>) investiční fond, (</w:t>
      </w:r>
      <w:proofErr w:type="spellStart"/>
      <w:r w:rsidRPr="0021745B">
        <w:rPr>
          <w:color w:val="000000"/>
          <w:sz w:val="14"/>
          <w:szCs w:val="14"/>
        </w:rPr>
        <w:t>viii</w:t>
      </w:r>
      <w:proofErr w:type="spellEnd"/>
      <w:r w:rsidRPr="0021745B">
        <w:rPr>
          <w:color w:val="000000"/>
          <w:sz w:val="14"/>
          <w:szCs w:val="14"/>
        </w:rPr>
        <w:t>) penzijní fond, (</w:t>
      </w:r>
      <w:proofErr w:type="spellStart"/>
      <w:r w:rsidRPr="0021745B">
        <w:rPr>
          <w:color w:val="000000"/>
          <w:sz w:val="14"/>
          <w:szCs w:val="14"/>
        </w:rPr>
        <w:t>ix</w:t>
      </w:r>
      <w:proofErr w:type="spellEnd"/>
      <w:r w:rsidRPr="0021745B">
        <w:rPr>
          <w:color w:val="000000"/>
          <w:sz w:val="14"/>
          <w:szCs w:val="14"/>
        </w:rPr>
        <w:t xml:space="preserve">) osoba, která jako svou rozhodující činnost provádí </w:t>
      </w:r>
      <w:proofErr w:type="spellStart"/>
      <w:r w:rsidRPr="0021745B">
        <w:rPr>
          <w:color w:val="000000"/>
          <w:sz w:val="14"/>
          <w:szCs w:val="14"/>
        </w:rPr>
        <w:t>sekuritizaci</w:t>
      </w:r>
      <w:proofErr w:type="spellEnd"/>
      <w:r w:rsidRPr="0021745B">
        <w:rPr>
          <w:color w:val="000000"/>
          <w:sz w:val="14"/>
          <w:szCs w:val="14"/>
        </w:rPr>
        <w:t xml:space="preserve">, (x) </w:t>
      </w:r>
      <w:r w:rsidRPr="0021745B">
        <w:rPr>
          <w:color w:val="000000"/>
          <w:spacing w:val="-4"/>
          <w:sz w:val="14"/>
          <w:szCs w:val="14"/>
          <w:lang w:bidi="th-TH"/>
        </w:rPr>
        <w:t>osoba</w:t>
      </w:r>
      <w:r w:rsidRPr="0021745B">
        <w:rPr>
          <w:color w:val="000000"/>
          <w:sz w:val="14"/>
          <w:szCs w:val="14"/>
        </w:rPr>
        <w:t>, která obchoduje na vlastní účet s investičními nástroji za účelem snížení rizika (</w:t>
      </w:r>
      <w:proofErr w:type="spellStart"/>
      <w:r w:rsidRPr="0021745B">
        <w:rPr>
          <w:color w:val="000000"/>
          <w:sz w:val="14"/>
          <w:szCs w:val="14"/>
        </w:rPr>
        <w:t>hedging</w:t>
      </w:r>
      <w:proofErr w:type="spellEnd"/>
      <w:r w:rsidRPr="0021745B">
        <w:rPr>
          <w:color w:val="000000"/>
          <w:sz w:val="14"/>
          <w:szCs w:val="14"/>
        </w:rPr>
        <w:t>) z obchodů s deriváty a tato činnost patří mezi její rozhodující činnosti, (</w:t>
      </w:r>
      <w:proofErr w:type="spellStart"/>
      <w:r w:rsidRPr="0021745B">
        <w:rPr>
          <w:color w:val="000000"/>
          <w:sz w:val="14"/>
          <w:szCs w:val="14"/>
        </w:rPr>
        <w:t>xi</w:t>
      </w:r>
      <w:proofErr w:type="spellEnd"/>
      <w:r w:rsidRPr="0021745B">
        <w:rPr>
          <w:color w:val="000000"/>
          <w:sz w:val="14"/>
          <w:szCs w:val="14"/>
        </w:rPr>
        <w:t>) osoba, která obchoduje na vlastní účet s deriváty nebo komoditami a tato činnost patří mezi její rozhodující činnosti, (</w:t>
      </w:r>
      <w:proofErr w:type="spellStart"/>
      <w:r w:rsidRPr="0021745B">
        <w:rPr>
          <w:color w:val="000000"/>
          <w:sz w:val="14"/>
          <w:szCs w:val="14"/>
        </w:rPr>
        <w:t>xii</w:t>
      </w:r>
      <w:proofErr w:type="spellEnd"/>
      <w:r w:rsidRPr="0021745B">
        <w:rPr>
          <w:color w:val="000000"/>
          <w:sz w:val="14"/>
          <w:szCs w:val="14"/>
        </w:rPr>
        <w:t>) právnická osoba, která je příslušná hospodařit s majetkem státu při zajišťování nákupu, prodeje nebo správy pohledávek nebo jiných aktiv, anebo při restrukturalizaci obchodních společností nebo jiných právnických osob, (</w:t>
      </w:r>
      <w:proofErr w:type="spellStart"/>
      <w:r w:rsidRPr="0021745B">
        <w:rPr>
          <w:color w:val="000000"/>
          <w:sz w:val="14"/>
          <w:szCs w:val="14"/>
        </w:rPr>
        <w:t>xiii</w:t>
      </w:r>
      <w:proofErr w:type="spellEnd"/>
      <w:r w:rsidRPr="0021745B">
        <w:rPr>
          <w:color w:val="000000"/>
          <w:sz w:val="14"/>
          <w:szCs w:val="14"/>
        </w:rPr>
        <w:t>) zahraniční osoba, která odpovídá některé z osob uvedených v (i) až (</w:t>
      </w:r>
      <w:proofErr w:type="spellStart"/>
      <w:r w:rsidRPr="0021745B">
        <w:rPr>
          <w:color w:val="000000"/>
          <w:sz w:val="14"/>
          <w:szCs w:val="14"/>
        </w:rPr>
        <w:t>xii</w:t>
      </w:r>
      <w:proofErr w:type="spellEnd"/>
      <w:r w:rsidRPr="0021745B">
        <w:rPr>
          <w:color w:val="000000"/>
          <w:sz w:val="14"/>
          <w:szCs w:val="14"/>
        </w:rPr>
        <w:t>), (</w:t>
      </w:r>
      <w:proofErr w:type="spellStart"/>
      <w:r w:rsidRPr="0021745B">
        <w:rPr>
          <w:color w:val="000000"/>
          <w:sz w:val="14"/>
          <w:szCs w:val="14"/>
        </w:rPr>
        <w:t>xiv</w:t>
      </w:r>
      <w:proofErr w:type="spellEnd"/>
      <w:r w:rsidRPr="0021745B">
        <w:rPr>
          <w:color w:val="000000"/>
          <w:sz w:val="14"/>
          <w:szCs w:val="14"/>
        </w:rPr>
        <w:t>) stát nebo členský stát federace, (</w:t>
      </w:r>
      <w:proofErr w:type="spellStart"/>
      <w:r w:rsidRPr="0021745B">
        <w:rPr>
          <w:color w:val="000000"/>
          <w:sz w:val="14"/>
          <w:szCs w:val="14"/>
        </w:rPr>
        <w:t>xv</w:t>
      </w:r>
      <w:proofErr w:type="spellEnd"/>
      <w:r w:rsidRPr="0021745B">
        <w:rPr>
          <w:color w:val="000000"/>
          <w:sz w:val="14"/>
          <w:szCs w:val="14"/>
        </w:rPr>
        <w:t>) Česká národní banka, zahraniční centrální banka nebo Evropská centrální banka, nebo (</w:t>
      </w:r>
      <w:proofErr w:type="spellStart"/>
      <w:r w:rsidRPr="0021745B">
        <w:rPr>
          <w:color w:val="000000"/>
          <w:sz w:val="14"/>
          <w:szCs w:val="14"/>
        </w:rPr>
        <w:t>xvi</w:t>
      </w:r>
      <w:proofErr w:type="spellEnd"/>
      <w:r w:rsidRPr="0021745B">
        <w:rPr>
          <w:color w:val="000000"/>
          <w:sz w:val="14"/>
          <w:szCs w:val="14"/>
        </w:rPr>
        <w:t>) Světová banka, Mezinárodní měnový fond, Evropská investiční banka nebo jiná mezinárodní finanční instituce. Způsobilá protistrana má potřeb</w:t>
      </w:r>
      <w:r w:rsidRPr="0021745B">
        <w:rPr>
          <w:bCs/>
          <w:color w:val="000000"/>
          <w:sz w:val="14"/>
          <w:szCs w:val="14"/>
        </w:rPr>
        <w:t xml:space="preserve">né odborné znalosti a zkušenosti v oblasti investic k tomu, aby činila vlastní investiční rozhodnutí a řádně vyhodnocovala </w:t>
      </w:r>
      <w:r w:rsidR="00B70A48">
        <w:rPr>
          <w:bCs/>
          <w:color w:val="000000"/>
          <w:sz w:val="14"/>
          <w:szCs w:val="14"/>
        </w:rPr>
        <w:t>rizika, která v souvislosti se s</w:t>
      </w:r>
      <w:r w:rsidRPr="0021745B">
        <w:rPr>
          <w:bCs/>
          <w:color w:val="000000"/>
          <w:sz w:val="14"/>
          <w:szCs w:val="14"/>
        </w:rPr>
        <w:t>lužbou nebo obchodem s</w:t>
      </w:r>
      <w:r w:rsidR="00B70A48">
        <w:rPr>
          <w:bCs/>
          <w:color w:val="000000"/>
          <w:sz w:val="14"/>
          <w:szCs w:val="14"/>
        </w:rPr>
        <w:t> investičním n</w:t>
      </w:r>
      <w:r w:rsidRPr="0021745B">
        <w:rPr>
          <w:bCs/>
          <w:color w:val="000000"/>
          <w:sz w:val="14"/>
          <w:szCs w:val="14"/>
        </w:rPr>
        <w:t xml:space="preserve">ástrojem </w:t>
      </w:r>
      <w:r w:rsidRPr="0021745B">
        <w:rPr>
          <w:color w:val="000000"/>
          <w:sz w:val="14"/>
          <w:szCs w:val="14"/>
        </w:rPr>
        <w:t>podstupuje</w:t>
      </w:r>
      <w:r w:rsidRPr="0021745B">
        <w:rPr>
          <w:bCs/>
          <w:color w:val="000000"/>
          <w:sz w:val="14"/>
          <w:szCs w:val="14"/>
        </w:rPr>
        <w:t xml:space="preserve"> a ve vztahu k investičnímu poradenství má dostatečné finanční zázemí k tomu, aby podstupovala související investiční rizika odpovídající jejím investičním cílům.</w:t>
      </w:r>
    </w:p>
    <w:p w:rsidR="003921B9" w:rsidRDefault="002B4148">
      <w:pPr>
        <w:tabs>
          <w:tab w:val="left" w:pos="567"/>
        </w:tabs>
        <w:spacing w:before="120"/>
        <w:ind w:left="425"/>
        <w:jc w:val="both"/>
        <w:rPr>
          <w:bCs/>
          <w:color w:val="000000"/>
          <w:sz w:val="14"/>
          <w:szCs w:val="14"/>
        </w:rPr>
      </w:pPr>
      <w:r w:rsidRPr="0021745B">
        <w:rPr>
          <w:color w:val="000000"/>
          <w:sz w:val="14"/>
          <w:szCs w:val="14"/>
        </w:rPr>
        <w:t>„</w:t>
      </w:r>
      <w:r w:rsidRPr="0021745B">
        <w:rPr>
          <w:b/>
          <w:bCs/>
          <w:color w:val="000000"/>
          <w:sz w:val="14"/>
          <w:szCs w:val="14"/>
        </w:rPr>
        <w:t>Způsobilá protistrana na žádost</w:t>
      </w:r>
      <w:r w:rsidRPr="0021745B">
        <w:rPr>
          <w:color w:val="000000"/>
          <w:sz w:val="14"/>
          <w:szCs w:val="14"/>
        </w:rPr>
        <w:t>” je klient, který byl Profesionálním zákazníkem nebo Profesionálním zákazníkem na žádost, a kterému byl udělen souhlas Banky se zařazením do kategorie Způsobilé protistrany na žádost. Způsobilá protistrana na žádost má potřebné odborné znalosti a zkušenosti v oblasti investic</w:t>
      </w:r>
      <w:r w:rsidRPr="0021745B">
        <w:rPr>
          <w:bCs/>
          <w:color w:val="000000"/>
          <w:sz w:val="14"/>
          <w:szCs w:val="14"/>
        </w:rPr>
        <w:t xml:space="preserve"> k tomu, aby činila vlastní investiční </w:t>
      </w:r>
      <w:r w:rsidRPr="0021745B">
        <w:rPr>
          <w:color w:val="000000"/>
          <w:sz w:val="14"/>
          <w:szCs w:val="14"/>
        </w:rPr>
        <w:t>rozhodnutí</w:t>
      </w:r>
      <w:r w:rsidRPr="0021745B">
        <w:rPr>
          <w:bCs/>
          <w:color w:val="000000"/>
          <w:sz w:val="14"/>
          <w:szCs w:val="14"/>
        </w:rPr>
        <w:t xml:space="preserve"> a </w:t>
      </w:r>
      <w:r w:rsidRPr="0021745B">
        <w:rPr>
          <w:color w:val="000000"/>
          <w:sz w:val="14"/>
          <w:szCs w:val="14"/>
        </w:rPr>
        <w:t>řádně</w:t>
      </w:r>
      <w:r w:rsidRPr="0021745B">
        <w:rPr>
          <w:bCs/>
          <w:color w:val="000000"/>
          <w:sz w:val="14"/>
          <w:szCs w:val="14"/>
        </w:rPr>
        <w:t xml:space="preserve"> vyhodnocovala rizika, která v souvislosti se Službou nebo obchodem s</w:t>
      </w:r>
      <w:r w:rsidR="00B70A48">
        <w:rPr>
          <w:bCs/>
          <w:color w:val="000000"/>
          <w:sz w:val="14"/>
          <w:szCs w:val="14"/>
        </w:rPr>
        <w:t> investičním n</w:t>
      </w:r>
      <w:r w:rsidRPr="0021745B">
        <w:rPr>
          <w:bCs/>
          <w:color w:val="000000"/>
          <w:sz w:val="14"/>
          <w:szCs w:val="14"/>
        </w:rPr>
        <w:t>ástrojem podstupuje.</w:t>
      </w:r>
    </w:p>
    <w:p w:rsidR="003921B9" w:rsidRDefault="002B4148">
      <w:pPr>
        <w:tabs>
          <w:tab w:val="left" w:pos="567"/>
        </w:tabs>
        <w:spacing w:before="120"/>
        <w:ind w:left="425"/>
        <w:jc w:val="both"/>
        <w:rPr>
          <w:sz w:val="14"/>
          <w:szCs w:val="14"/>
        </w:rPr>
      </w:pPr>
      <w:r w:rsidRPr="0021745B">
        <w:rPr>
          <w:color w:val="000000"/>
          <w:sz w:val="14"/>
          <w:szCs w:val="14"/>
          <w:lang w:eastAsia="en-US"/>
        </w:rPr>
        <w:t>„</w:t>
      </w:r>
      <w:r w:rsidRPr="0021745B">
        <w:rPr>
          <w:b/>
          <w:color w:val="000000"/>
          <w:sz w:val="14"/>
          <w:szCs w:val="14"/>
          <w:lang w:eastAsia="en-US"/>
        </w:rPr>
        <w:t>Žádost</w:t>
      </w:r>
      <w:r w:rsidRPr="0021745B">
        <w:rPr>
          <w:color w:val="000000"/>
          <w:sz w:val="14"/>
          <w:szCs w:val="14"/>
          <w:lang w:eastAsia="en-US"/>
        </w:rPr>
        <w:t xml:space="preserve">” je žádost o </w:t>
      </w:r>
      <w:r w:rsidRPr="0021745B">
        <w:rPr>
          <w:color w:val="000000"/>
          <w:sz w:val="14"/>
          <w:szCs w:val="14"/>
        </w:rPr>
        <w:t>změnu</w:t>
      </w:r>
      <w:r w:rsidRPr="0021745B">
        <w:rPr>
          <w:color w:val="000000"/>
          <w:sz w:val="14"/>
          <w:szCs w:val="14"/>
          <w:lang w:eastAsia="en-US"/>
        </w:rPr>
        <w:t xml:space="preserve"> zařazení klienta do jiné kategorie zákazníků. Tato žádost musí, mimo jiné, obsahovat informace o tom, </w:t>
      </w:r>
      <w:r w:rsidRPr="0021745B">
        <w:rPr>
          <w:color w:val="000000"/>
          <w:sz w:val="14"/>
          <w:szCs w:val="14"/>
        </w:rPr>
        <w:t>které</w:t>
      </w:r>
      <w:r w:rsidR="00B70A48">
        <w:rPr>
          <w:color w:val="000000"/>
          <w:sz w:val="14"/>
          <w:szCs w:val="14"/>
          <w:lang w:eastAsia="en-US"/>
        </w:rPr>
        <w:t xml:space="preserve"> s</w:t>
      </w:r>
      <w:r w:rsidRPr="0021745B">
        <w:rPr>
          <w:color w:val="000000"/>
          <w:sz w:val="14"/>
          <w:szCs w:val="14"/>
          <w:lang w:eastAsia="en-US"/>
        </w:rPr>
        <w:t>lužby nebo kterého obchodu s</w:t>
      </w:r>
      <w:r w:rsidR="00B70A48">
        <w:rPr>
          <w:color w:val="000000"/>
          <w:sz w:val="14"/>
          <w:szCs w:val="14"/>
          <w:lang w:eastAsia="en-US"/>
        </w:rPr>
        <w:t> investičním n</w:t>
      </w:r>
      <w:r w:rsidRPr="0021745B">
        <w:rPr>
          <w:color w:val="000000"/>
          <w:sz w:val="14"/>
          <w:szCs w:val="14"/>
          <w:lang w:eastAsia="en-US"/>
        </w:rPr>
        <w:t>ástrojem se má změna zařazení týkat.</w:t>
      </w:r>
    </w:p>
    <w:p w:rsidR="003921B9" w:rsidRDefault="002B4148" w:rsidP="00955663">
      <w:pPr>
        <w:pStyle w:val="Nadpis2"/>
        <w:numPr>
          <w:ilvl w:val="1"/>
          <w:numId w:val="79"/>
        </w:numPr>
        <w:spacing w:before="120" w:after="0"/>
        <w:ind w:left="426" w:hanging="426"/>
        <w:jc w:val="both"/>
        <w:rPr>
          <w:b w:val="0"/>
          <w:bCs/>
          <w:sz w:val="14"/>
          <w:szCs w:val="14"/>
        </w:rPr>
      </w:pPr>
      <w:r w:rsidRPr="0021745B">
        <w:rPr>
          <w:b w:val="0"/>
          <w:bCs/>
          <w:sz w:val="14"/>
          <w:szCs w:val="14"/>
        </w:rPr>
        <w:t>Neprofesionální zákazník</w:t>
      </w:r>
    </w:p>
    <w:p w:rsidR="003921B9" w:rsidRDefault="002B4148" w:rsidP="00955663">
      <w:pPr>
        <w:pStyle w:val="Nadpis2"/>
        <w:numPr>
          <w:ilvl w:val="2"/>
          <w:numId w:val="79"/>
        </w:numPr>
        <w:spacing w:before="120" w:after="0"/>
        <w:ind w:left="993" w:hanging="567"/>
        <w:jc w:val="both"/>
        <w:rPr>
          <w:sz w:val="14"/>
          <w:szCs w:val="14"/>
        </w:rPr>
      </w:pPr>
      <w:r w:rsidRPr="0021745B">
        <w:rPr>
          <w:sz w:val="14"/>
          <w:szCs w:val="14"/>
        </w:rPr>
        <w:t>Stupeň ochrany</w:t>
      </w:r>
    </w:p>
    <w:p w:rsidR="003921B9" w:rsidRDefault="002B4148" w:rsidP="00955663">
      <w:pPr>
        <w:pStyle w:val="Nadpis2"/>
        <w:numPr>
          <w:ilvl w:val="3"/>
          <w:numId w:val="79"/>
        </w:numPr>
        <w:spacing w:before="120" w:after="0"/>
        <w:ind w:left="1560" w:hanging="567"/>
        <w:jc w:val="both"/>
        <w:rPr>
          <w:b w:val="0"/>
          <w:bCs/>
          <w:color w:val="000000"/>
          <w:sz w:val="14"/>
          <w:szCs w:val="14"/>
        </w:rPr>
      </w:pPr>
      <w:r w:rsidRPr="0021745B">
        <w:rPr>
          <w:b w:val="0"/>
          <w:bCs/>
          <w:color w:val="000000"/>
          <w:sz w:val="14"/>
          <w:szCs w:val="14"/>
        </w:rPr>
        <w:t xml:space="preserve">Neprofesionálnímu zákazníkovi náleží </w:t>
      </w:r>
      <w:r w:rsidRPr="0021745B">
        <w:rPr>
          <w:b w:val="0"/>
          <w:color w:val="000000"/>
          <w:sz w:val="14"/>
          <w:szCs w:val="14"/>
        </w:rPr>
        <w:t>nejvyšší stupeň ochrany</w:t>
      </w:r>
      <w:r w:rsidRPr="0021745B">
        <w:rPr>
          <w:b w:val="0"/>
          <w:bCs/>
          <w:color w:val="000000"/>
          <w:sz w:val="14"/>
          <w:szCs w:val="14"/>
        </w:rPr>
        <w:t xml:space="preserve">; Banka je vůči němu povinna dodržovat </w:t>
      </w:r>
      <w:r w:rsidRPr="0021745B">
        <w:rPr>
          <w:b w:val="0"/>
          <w:color w:val="000000"/>
          <w:sz w:val="14"/>
          <w:szCs w:val="14"/>
        </w:rPr>
        <w:t>Povinnosti v nejširším rozsahu.</w:t>
      </w:r>
    </w:p>
    <w:p w:rsidR="003921B9" w:rsidRDefault="002B4148" w:rsidP="00955663">
      <w:pPr>
        <w:pStyle w:val="Nadpis2"/>
        <w:numPr>
          <w:ilvl w:val="2"/>
          <w:numId w:val="79"/>
        </w:numPr>
        <w:spacing w:before="120" w:after="0"/>
        <w:ind w:left="993" w:hanging="567"/>
        <w:jc w:val="both"/>
        <w:rPr>
          <w:sz w:val="14"/>
          <w:szCs w:val="14"/>
        </w:rPr>
      </w:pPr>
      <w:r w:rsidRPr="0021745B">
        <w:rPr>
          <w:sz w:val="14"/>
          <w:szCs w:val="14"/>
        </w:rPr>
        <w:t>Možnosti přestupu</w:t>
      </w:r>
    </w:p>
    <w:p w:rsidR="003921B9" w:rsidRDefault="002B4148" w:rsidP="00955663">
      <w:pPr>
        <w:pStyle w:val="Nadpis2"/>
        <w:numPr>
          <w:ilvl w:val="3"/>
          <w:numId w:val="79"/>
        </w:numPr>
        <w:spacing w:before="120" w:after="0"/>
        <w:ind w:left="1560" w:hanging="567"/>
        <w:jc w:val="both"/>
        <w:rPr>
          <w:b w:val="0"/>
          <w:sz w:val="14"/>
          <w:szCs w:val="14"/>
        </w:rPr>
      </w:pPr>
      <w:bookmarkStart w:id="4" w:name="_Ref224457881"/>
      <w:r w:rsidRPr="0021745B">
        <w:rPr>
          <w:b w:val="0"/>
          <w:bCs/>
          <w:color w:val="000000"/>
          <w:sz w:val="14"/>
          <w:szCs w:val="14"/>
        </w:rPr>
        <w:t>Neprofesionální</w:t>
      </w:r>
      <w:r w:rsidRPr="0021745B">
        <w:rPr>
          <w:b w:val="0"/>
          <w:sz w:val="14"/>
          <w:szCs w:val="14"/>
        </w:rPr>
        <w:t xml:space="preserve"> zákazník, který splňuje alespoň dvě z následujících kritérií:</w:t>
      </w:r>
      <w:bookmarkEnd w:id="4"/>
    </w:p>
    <w:p w:rsidR="003921B9" w:rsidRDefault="002B4148">
      <w:pPr>
        <w:numPr>
          <w:ilvl w:val="0"/>
          <w:numId w:val="15"/>
        </w:numPr>
        <w:overflowPunct/>
        <w:autoSpaceDE/>
        <w:autoSpaceDN/>
        <w:adjustRightInd/>
        <w:spacing w:before="120"/>
        <w:jc w:val="both"/>
        <w:textAlignment w:val="auto"/>
        <w:rPr>
          <w:color w:val="000000"/>
          <w:sz w:val="14"/>
          <w:szCs w:val="14"/>
        </w:rPr>
      </w:pPr>
      <w:r w:rsidRPr="0021745B">
        <w:rPr>
          <w:sz w:val="14"/>
          <w:szCs w:val="14"/>
        </w:rPr>
        <w:t>v</w:t>
      </w:r>
      <w:r w:rsidRPr="0021745B">
        <w:rPr>
          <w:color w:val="000000"/>
          <w:sz w:val="14"/>
          <w:szCs w:val="14"/>
        </w:rPr>
        <w:t xml:space="preserve"> předchozích čtyřech </w:t>
      </w:r>
      <w:r w:rsidR="00296388">
        <w:rPr>
          <w:color w:val="000000"/>
          <w:sz w:val="14"/>
          <w:szCs w:val="14"/>
        </w:rPr>
        <w:t>čtvrtletích k</w:t>
      </w:r>
      <w:r w:rsidRPr="0021745B">
        <w:rPr>
          <w:color w:val="000000"/>
          <w:sz w:val="14"/>
          <w:szCs w:val="14"/>
        </w:rPr>
        <w:t>lient provedl na příslušném trhu obchody ve významném objemu a s průměrnou frekvencí alespoň deset obchodů za čtvrtletí; nebo</w:t>
      </w:r>
    </w:p>
    <w:p w:rsidR="003921B9" w:rsidRDefault="002B4148">
      <w:pPr>
        <w:numPr>
          <w:ilvl w:val="0"/>
          <w:numId w:val="15"/>
        </w:numPr>
        <w:overflowPunct/>
        <w:autoSpaceDE/>
        <w:autoSpaceDN/>
        <w:adjustRightInd/>
        <w:spacing w:before="120"/>
        <w:jc w:val="both"/>
        <w:textAlignment w:val="auto"/>
        <w:rPr>
          <w:color w:val="000000"/>
          <w:sz w:val="14"/>
          <w:szCs w:val="14"/>
        </w:rPr>
      </w:pPr>
      <w:r w:rsidRPr="0021745B">
        <w:rPr>
          <w:color w:val="000000"/>
          <w:sz w:val="14"/>
          <w:szCs w:val="14"/>
        </w:rPr>
        <w:t>velikost jeho majetku přesahuje EUR 500.000; nebo</w:t>
      </w:r>
    </w:p>
    <w:p w:rsidR="003921B9" w:rsidRDefault="002B4148" w:rsidP="00955663">
      <w:pPr>
        <w:numPr>
          <w:ilvl w:val="0"/>
          <w:numId w:val="15"/>
        </w:numPr>
        <w:overflowPunct/>
        <w:autoSpaceDE/>
        <w:autoSpaceDN/>
        <w:adjustRightInd/>
        <w:spacing w:before="120"/>
        <w:ind w:left="1560" w:hanging="284"/>
        <w:jc w:val="both"/>
        <w:textAlignment w:val="auto"/>
        <w:rPr>
          <w:color w:val="000000"/>
          <w:sz w:val="14"/>
          <w:szCs w:val="14"/>
        </w:rPr>
      </w:pPr>
      <w:r w:rsidRPr="0021745B">
        <w:rPr>
          <w:color w:val="000000"/>
          <w:sz w:val="14"/>
          <w:szCs w:val="14"/>
        </w:rPr>
        <w:lastRenderedPageBreak/>
        <w:t>pracuje nebo pracoval ve finančním sektoru po dobu minimálně jednoho roku na odborné pozici, která vyžaduje nebo vyžadovala znalosti odpovídajících obchodů nebo služeb</w:t>
      </w:r>
    </w:p>
    <w:p w:rsidR="003921B9" w:rsidRDefault="002B4148" w:rsidP="00955663">
      <w:pPr>
        <w:spacing w:before="120"/>
        <w:ind w:left="1276"/>
        <w:jc w:val="both"/>
        <w:rPr>
          <w:color w:val="000000"/>
          <w:sz w:val="14"/>
          <w:szCs w:val="14"/>
        </w:rPr>
      </w:pPr>
      <w:r w:rsidRPr="0021745B">
        <w:rPr>
          <w:color w:val="000000"/>
          <w:sz w:val="14"/>
          <w:szCs w:val="14"/>
        </w:rPr>
        <w:t>může na základě písemné Žádosti a souhlasu Banky být zařazen do kategorie Profesionálních zákazníků na žádost.</w:t>
      </w:r>
    </w:p>
    <w:p w:rsidR="003921B9" w:rsidRDefault="002B4148" w:rsidP="00955663">
      <w:pPr>
        <w:pStyle w:val="Nadpis2"/>
        <w:numPr>
          <w:ilvl w:val="3"/>
          <w:numId w:val="79"/>
        </w:numPr>
        <w:spacing w:before="120" w:after="0"/>
        <w:ind w:left="1276" w:hanging="567"/>
        <w:jc w:val="both"/>
        <w:rPr>
          <w:b w:val="0"/>
          <w:bCs/>
          <w:color w:val="000000"/>
          <w:sz w:val="14"/>
          <w:szCs w:val="14"/>
        </w:rPr>
      </w:pPr>
      <w:bookmarkStart w:id="5" w:name="_Ref224457895"/>
      <w:r w:rsidRPr="0021745B">
        <w:rPr>
          <w:b w:val="0"/>
          <w:bCs/>
          <w:color w:val="000000"/>
          <w:sz w:val="14"/>
          <w:szCs w:val="14"/>
        </w:rPr>
        <w:t>Přílohou Žádosti Neprofesionálního zákazníka o zařazení do kategorie Profesionálních zákazníků na žádost musí být písemné prohlášení žadatele o tom, že si je vědom, že změna zařazení může znamenat ztrátu nároku na náhradu ze zahraničního systému účelem podobnému Garančnímu fondu obchodníků s cennými papíry a skutečnosti, že Banka vůči Profesionálnímu zákazníkovi na žádost dodržuje Povinnosti v užším rozsahu, nikoli Povinnosti v nejširším rozsahu.</w:t>
      </w:r>
      <w:bookmarkEnd w:id="5"/>
    </w:p>
    <w:p w:rsidR="003921B9" w:rsidRDefault="002B4148" w:rsidP="00955663">
      <w:pPr>
        <w:pStyle w:val="Nadpis2"/>
        <w:numPr>
          <w:ilvl w:val="3"/>
          <w:numId w:val="79"/>
        </w:numPr>
        <w:spacing w:before="120" w:after="0"/>
        <w:ind w:left="1276" w:hanging="567"/>
        <w:jc w:val="both"/>
        <w:rPr>
          <w:b w:val="0"/>
          <w:sz w:val="14"/>
          <w:szCs w:val="14"/>
        </w:rPr>
      </w:pPr>
      <w:r w:rsidRPr="0021745B">
        <w:rPr>
          <w:b w:val="0"/>
          <w:bCs/>
          <w:color w:val="000000"/>
          <w:sz w:val="14"/>
          <w:szCs w:val="14"/>
        </w:rPr>
        <w:t xml:space="preserve">Banka souhlas dle odstavce </w:t>
      </w:r>
      <w:r w:rsidR="002E1D92">
        <w:rPr>
          <w:b w:val="0"/>
          <w:bCs/>
          <w:color w:val="000000"/>
          <w:sz w:val="14"/>
          <w:szCs w:val="14"/>
        </w:rPr>
        <w:fldChar w:fldCharType="begin"/>
      </w:r>
      <w:r w:rsidR="003F5186">
        <w:rPr>
          <w:b w:val="0"/>
          <w:bCs/>
          <w:color w:val="000000"/>
          <w:sz w:val="14"/>
          <w:szCs w:val="14"/>
        </w:rPr>
        <w:instrText xml:space="preserve"> REF _Ref224457881 \r \h </w:instrText>
      </w:r>
      <w:r w:rsidR="002E1D92">
        <w:rPr>
          <w:b w:val="0"/>
          <w:bCs/>
          <w:color w:val="000000"/>
          <w:sz w:val="14"/>
          <w:szCs w:val="14"/>
        </w:rPr>
      </w:r>
      <w:r w:rsidR="002E1D92">
        <w:rPr>
          <w:b w:val="0"/>
          <w:bCs/>
          <w:color w:val="000000"/>
          <w:sz w:val="14"/>
          <w:szCs w:val="14"/>
        </w:rPr>
        <w:fldChar w:fldCharType="separate"/>
      </w:r>
      <w:r w:rsidR="00994072">
        <w:rPr>
          <w:b w:val="0"/>
          <w:bCs/>
          <w:color w:val="000000"/>
          <w:sz w:val="14"/>
          <w:szCs w:val="14"/>
        </w:rPr>
        <w:t>8.2.2.1</w:t>
      </w:r>
      <w:r w:rsidR="002E1D92">
        <w:rPr>
          <w:b w:val="0"/>
          <w:bCs/>
          <w:color w:val="000000"/>
          <w:sz w:val="14"/>
          <w:szCs w:val="14"/>
        </w:rPr>
        <w:fldChar w:fldCharType="end"/>
      </w:r>
      <w:r w:rsidRPr="0021745B">
        <w:rPr>
          <w:b w:val="0"/>
          <w:bCs/>
          <w:color w:val="000000"/>
          <w:sz w:val="14"/>
          <w:szCs w:val="14"/>
        </w:rPr>
        <w:t xml:space="preserve"> udělí v případě, že jsou splněny podmínky uvedené v odstavcích </w:t>
      </w:r>
      <w:r w:rsidR="002E1D92">
        <w:rPr>
          <w:b w:val="0"/>
          <w:bCs/>
          <w:color w:val="000000"/>
          <w:sz w:val="14"/>
          <w:szCs w:val="14"/>
        </w:rPr>
        <w:fldChar w:fldCharType="begin"/>
      </w:r>
      <w:r w:rsidR="003F5186">
        <w:rPr>
          <w:b w:val="0"/>
          <w:bCs/>
          <w:color w:val="000000"/>
          <w:sz w:val="14"/>
          <w:szCs w:val="14"/>
        </w:rPr>
        <w:instrText xml:space="preserve"> REF _Ref224457881 \r \h </w:instrText>
      </w:r>
      <w:r w:rsidR="002E1D92">
        <w:rPr>
          <w:b w:val="0"/>
          <w:bCs/>
          <w:color w:val="000000"/>
          <w:sz w:val="14"/>
          <w:szCs w:val="14"/>
        </w:rPr>
      </w:r>
      <w:r w:rsidR="002E1D92">
        <w:rPr>
          <w:b w:val="0"/>
          <w:bCs/>
          <w:color w:val="000000"/>
          <w:sz w:val="14"/>
          <w:szCs w:val="14"/>
        </w:rPr>
        <w:fldChar w:fldCharType="separate"/>
      </w:r>
      <w:r w:rsidR="00994072">
        <w:rPr>
          <w:b w:val="0"/>
          <w:bCs/>
          <w:color w:val="000000"/>
          <w:sz w:val="14"/>
          <w:szCs w:val="14"/>
        </w:rPr>
        <w:t>8.2.2.1</w:t>
      </w:r>
      <w:r w:rsidR="002E1D92">
        <w:rPr>
          <w:b w:val="0"/>
          <w:bCs/>
          <w:color w:val="000000"/>
          <w:sz w:val="14"/>
          <w:szCs w:val="14"/>
        </w:rPr>
        <w:fldChar w:fldCharType="end"/>
      </w:r>
      <w:r w:rsidRPr="0021745B">
        <w:rPr>
          <w:b w:val="0"/>
          <w:bCs/>
          <w:color w:val="000000"/>
          <w:sz w:val="14"/>
          <w:szCs w:val="14"/>
        </w:rPr>
        <w:t xml:space="preserve"> a </w:t>
      </w:r>
      <w:r w:rsidR="002E1D92">
        <w:rPr>
          <w:b w:val="0"/>
          <w:bCs/>
          <w:color w:val="000000"/>
          <w:sz w:val="14"/>
          <w:szCs w:val="14"/>
        </w:rPr>
        <w:fldChar w:fldCharType="begin"/>
      </w:r>
      <w:r w:rsidR="003F5186">
        <w:rPr>
          <w:b w:val="0"/>
          <w:bCs/>
          <w:color w:val="000000"/>
          <w:sz w:val="14"/>
          <w:szCs w:val="14"/>
        </w:rPr>
        <w:instrText xml:space="preserve"> REF _Ref224457895 \r \h </w:instrText>
      </w:r>
      <w:r w:rsidR="002E1D92">
        <w:rPr>
          <w:b w:val="0"/>
          <w:bCs/>
          <w:color w:val="000000"/>
          <w:sz w:val="14"/>
          <w:szCs w:val="14"/>
        </w:rPr>
      </w:r>
      <w:r w:rsidR="002E1D92">
        <w:rPr>
          <w:b w:val="0"/>
          <w:bCs/>
          <w:color w:val="000000"/>
          <w:sz w:val="14"/>
          <w:szCs w:val="14"/>
        </w:rPr>
        <w:fldChar w:fldCharType="separate"/>
      </w:r>
      <w:r w:rsidR="00994072">
        <w:rPr>
          <w:b w:val="0"/>
          <w:bCs/>
          <w:color w:val="000000"/>
          <w:sz w:val="14"/>
          <w:szCs w:val="14"/>
        </w:rPr>
        <w:t>8.2.2.2</w:t>
      </w:r>
      <w:r w:rsidR="002E1D92">
        <w:rPr>
          <w:b w:val="0"/>
          <w:bCs/>
          <w:color w:val="000000"/>
          <w:sz w:val="14"/>
          <w:szCs w:val="14"/>
        </w:rPr>
        <w:fldChar w:fldCharType="end"/>
      </w:r>
      <w:r w:rsidR="00296388">
        <w:rPr>
          <w:b w:val="0"/>
          <w:bCs/>
          <w:color w:val="000000"/>
          <w:sz w:val="14"/>
          <w:szCs w:val="14"/>
        </w:rPr>
        <w:t xml:space="preserve"> výše a k</w:t>
      </w:r>
      <w:r w:rsidRPr="0021745B">
        <w:rPr>
          <w:b w:val="0"/>
          <w:bCs/>
          <w:color w:val="000000"/>
          <w:sz w:val="14"/>
          <w:szCs w:val="14"/>
        </w:rPr>
        <w:t xml:space="preserve">lient má potřebné odborné znalosti a zkušenosti v oblasti investic k tomu, aby činil vlastní investiční rozhodnutí a řádně vyhodnocoval </w:t>
      </w:r>
      <w:r w:rsidR="00B70A48">
        <w:rPr>
          <w:b w:val="0"/>
          <w:bCs/>
          <w:color w:val="000000"/>
          <w:sz w:val="14"/>
          <w:szCs w:val="14"/>
        </w:rPr>
        <w:t>rizika, která v souvislosti se s</w:t>
      </w:r>
      <w:r w:rsidRPr="0021745B">
        <w:rPr>
          <w:b w:val="0"/>
          <w:bCs/>
          <w:color w:val="000000"/>
          <w:sz w:val="14"/>
          <w:szCs w:val="14"/>
        </w:rPr>
        <w:t>lužbou nebo obchodem s</w:t>
      </w:r>
      <w:r w:rsidR="00B70A48">
        <w:rPr>
          <w:b w:val="0"/>
          <w:bCs/>
          <w:color w:val="000000"/>
          <w:sz w:val="14"/>
          <w:szCs w:val="14"/>
        </w:rPr>
        <w:t> investičním n</w:t>
      </w:r>
      <w:r w:rsidRPr="0021745B">
        <w:rPr>
          <w:b w:val="0"/>
          <w:bCs/>
          <w:color w:val="000000"/>
          <w:sz w:val="14"/>
          <w:szCs w:val="14"/>
        </w:rPr>
        <w:t>ástrojem podstupuje a ve vztahu k investičnímu poradenství má dostatečné finanční zázemí k tomu, aby podstupoval související investiční rizika odpovídající</w:t>
      </w:r>
      <w:r w:rsidRPr="0021745B">
        <w:rPr>
          <w:b w:val="0"/>
          <w:sz w:val="14"/>
          <w:szCs w:val="14"/>
        </w:rPr>
        <w:t xml:space="preserve"> jeho investičním cílům.</w:t>
      </w:r>
    </w:p>
    <w:p w:rsidR="003921B9" w:rsidRDefault="002B4148" w:rsidP="00955663">
      <w:pPr>
        <w:pStyle w:val="Nadpis2"/>
        <w:numPr>
          <w:ilvl w:val="1"/>
          <w:numId w:val="79"/>
        </w:numPr>
        <w:spacing w:before="120" w:after="0"/>
        <w:ind w:left="426" w:hanging="426"/>
        <w:jc w:val="both"/>
        <w:rPr>
          <w:b w:val="0"/>
          <w:bCs/>
          <w:sz w:val="14"/>
          <w:szCs w:val="14"/>
        </w:rPr>
      </w:pPr>
      <w:r w:rsidRPr="0021745B">
        <w:rPr>
          <w:b w:val="0"/>
          <w:bCs/>
          <w:sz w:val="14"/>
          <w:szCs w:val="14"/>
        </w:rPr>
        <w:t>Profesionální zákazník</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Stupeň ochrany</w:t>
      </w:r>
    </w:p>
    <w:p w:rsidR="003921B9" w:rsidRDefault="002B4148" w:rsidP="00955663">
      <w:pPr>
        <w:pStyle w:val="Nadpis2"/>
        <w:numPr>
          <w:ilvl w:val="3"/>
          <w:numId w:val="79"/>
        </w:numPr>
        <w:spacing w:before="120" w:after="0"/>
        <w:ind w:left="1418" w:hanging="567"/>
        <w:jc w:val="both"/>
        <w:rPr>
          <w:b w:val="0"/>
          <w:sz w:val="14"/>
          <w:szCs w:val="14"/>
        </w:rPr>
      </w:pPr>
      <w:r w:rsidRPr="0021745B">
        <w:rPr>
          <w:b w:val="0"/>
          <w:sz w:val="14"/>
          <w:szCs w:val="14"/>
        </w:rPr>
        <w:t>Profesionálnímu zákazníkovi náleží střední stupeň ochrany; Banka je vůči němu povinna dodržovat Povinnosti v užším rozsahu.</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Možnosti přestupu</w:t>
      </w:r>
    </w:p>
    <w:p w:rsidR="003921B9" w:rsidRDefault="002B4148" w:rsidP="00955663">
      <w:pPr>
        <w:pStyle w:val="Nadpis2"/>
        <w:numPr>
          <w:ilvl w:val="3"/>
          <w:numId w:val="79"/>
        </w:numPr>
        <w:spacing w:before="120" w:after="0"/>
        <w:ind w:left="1418" w:hanging="567"/>
        <w:jc w:val="both"/>
        <w:rPr>
          <w:b w:val="0"/>
          <w:sz w:val="14"/>
          <w:szCs w:val="14"/>
        </w:rPr>
      </w:pPr>
      <w:r w:rsidRPr="0021745B">
        <w:rPr>
          <w:b w:val="0"/>
          <w:sz w:val="14"/>
          <w:szCs w:val="14"/>
        </w:rPr>
        <w:t xml:space="preserve">Profesionální zákazník může být na základě dohody s Bankou zařazen do kategorie Neprofesionálních zákazníků; získá tak nejvyšší stupeň ochrany a Banka vůči němu bude povinna dodržovat Povinnosti v nejširším rozsahu. Dohoda mezi Bankou a </w:t>
      </w:r>
      <w:r w:rsidR="00B70A48">
        <w:rPr>
          <w:b w:val="0"/>
          <w:sz w:val="14"/>
          <w:szCs w:val="14"/>
        </w:rPr>
        <w:t>k</w:t>
      </w:r>
      <w:r w:rsidRPr="0021745B">
        <w:rPr>
          <w:b w:val="0"/>
          <w:sz w:val="14"/>
          <w:szCs w:val="14"/>
        </w:rPr>
        <w:t xml:space="preserve">lientem o přestupu </w:t>
      </w:r>
      <w:r w:rsidR="00B70A48">
        <w:rPr>
          <w:b w:val="0"/>
          <w:sz w:val="14"/>
          <w:szCs w:val="14"/>
        </w:rPr>
        <w:t>k</w:t>
      </w:r>
      <w:r w:rsidRPr="0021745B">
        <w:rPr>
          <w:b w:val="0"/>
          <w:sz w:val="14"/>
          <w:szCs w:val="14"/>
        </w:rPr>
        <w:t xml:space="preserve">lienta do kategorie Neprofesionální zákazník musí obsahovat informace o tom, které </w:t>
      </w:r>
      <w:r w:rsidR="00B70A48">
        <w:rPr>
          <w:b w:val="0"/>
          <w:sz w:val="14"/>
          <w:szCs w:val="14"/>
        </w:rPr>
        <w:t>s</w:t>
      </w:r>
      <w:r w:rsidRPr="0021745B">
        <w:rPr>
          <w:b w:val="0"/>
          <w:sz w:val="14"/>
          <w:szCs w:val="14"/>
        </w:rPr>
        <w:t>lužby nebo kterého obchodu s</w:t>
      </w:r>
      <w:r w:rsidR="00B70A48">
        <w:rPr>
          <w:b w:val="0"/>
          <w:sz w:val="14"/>
          <w:szCs w:val="14"/>
        </w:rPr>
        <w:t> investičním n</w:t>
      </w:r>
      <w:r w:rsidRPr="0021745B">
        <w:rPr>
          <w:b w:val="0"/>
          <w:sz w:val="14"/>
          <w:szCs w:val="14"/>
        </w:rPr>
        <w:t xml:space="preserve">ástrojem se má změna zařazení týkat; v případě, že dohoda není písemná, Banka vydá na základě </w:t>
      </w:r>
      <w:r w:rsidR="00B70A48">
        <w:rPr>
          <w:b w:val="0"/>
          <w:sz w:val="14"/>
          <w:szCs w:val="14"/>
        </w:rPr>
        <w:t>k</w:t>
      </w:r>
      <w:r w:rsidRPr="0021745B">
        <w:rPr>
          <w:b w:val="0"/>
          <w:sz w:val="14"/>
          <w:szCs w:val="14"/>
        </w:rPr>
        <w:t>lientovy výzvy potvrzení o výše uvedených skutečnostech.</w:t>
      </w:r>
    </w:p>
    <w:p w:rsidR="003921B9" w:rsidRPr="00112EC7" w:rsidRDefault="002B4148" w:rsidP="00955663">
      <w:pPr>
        <w:pStyle w:val="Nadpis2"/>
        <w:numPr>
          <w:ilvl w:val="3"/>
          <w:numId w:val="79"/>
        </w:numPr>
        <w:spacing w:before="120" w:after="0"/>
        <w:ind w:left="1418" w:hanging="567"/>
        <w:jc w:val="both"/>
        <w:rPr>
          <w:b w:val="0"/>
          <w:sz w:val="14"/>
          <w:szCs w:val="14"/>
        </w:rPr>
      </w:pPr>
      <w:r w:rsidRPr="0021745B">
        <w:rPr>
          <w:b w:val="0"/>
          <w:sz w:val="14"/>
          <w:szCs w:val="14"/>
        </w:rPr>
        <w:t>Profesionální zákazník bude na základě písemné Žádosti zařazen do kategorie Způsobilá protistrana na žádost; získá tak nejnižší stupeň ochrany a Banka vůči němu nebude povinna dodržovat Povinnosti v nejširším rozsahu ani Povinnosti</w:t>
      </w:r>
      <w:r w:rsidRPr="0021745B">
        <w:rPr>
          <w:sz w:val="14"/>
          <w:szCs w:val="14"/>
        </w:rPr>
        <w:t xml:space="preserve"> </w:t>
      </w:r>
      <w:r w:rsidRPr="00112EC7">
        <w:rPr>
          <w:b w:val="0"/>
          <w:sz w:val="14"/>
          <w:szCs w:val="14"/>
        </w:rPr>
        <w:t>v užším rozsahu.</w:t>
      </w:r>
    </w:p>
    <w:p w:rsidR="003921B9" w:rsidRDefault="002B4148" w:rsidP="00955663">
      <w:pPr>
        <w:pStyle w:val="Nadpis2"/>
        <w:numPr>
          <w:ilvl w:val="1"/>
          <w:numId w:val="79"/>
        </w:numPr>
        <w:spacing w:before="120" w:after="0"/>
        <w:ind w:left="426" w:hanging="426"/>
        <w:jc w:val="both"/>
        <w:rPr>
          <w:b w:val="0"/>
          <w:bCs/>
          <w:sz w:val="14"/>
          <w:szCs w:val="14"/>
        </w:rPr>
      </w:pPr>
      <w:r w:rsidRPr="0021745B">
        <w:rPr>
          <w:b w:val="0"/>
          <w:bCs/>
          <w:sz w:val="14"/>
          <w:szCs w:val="14"/>
        </w:rPr>
        <w:t>Profesionální zákazník na žádost</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Stupeň ochrany</w:t>
      </w:r>
    </w:p>
    <w:p w:rsidR="003921B9" w:rsidRDefault="002B4148" w:rsidP="00955663">
      <w:pPr>
        <w:pStyle w:val="Nadpis2"/>
        <w:numPr>
          <w:ilvl w:val="3"/>
          <w:numId w:val="79"/>
        </w:numPr>
        <w:spacing w:before="120" w:after="0"/>
        <w:ind w:left="1418" w:hanging="567"/>
        <w:jc w:val="both"/>
        <w:rPr>
          <w:b w:val="0"/>
          <w:sz w:val="14"/>
          <w:szCs w:val="14"/>
        </w:rPr>
      </w:pPr>
      <w:r w:rsidRPr="0021745B">
        <w:rPr>
          <w:b w:val="0"/>
          <w:sz w:val="14"/>
          <w:szCs w:val="14"/>
        </w:rPr>
        <w:t>Profesionálnímu zákazníkovi na žádost náleží střední stupeň ochrany; Banka je vůči němu povinna dodržovat Povinnosti v užším rozsahu.</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lastRenderedPageBreak/>
        <w:t>Možnosti přestupu</w:t>
      </w:r>
    </w:p>
    <w:p w:rsidR="003921B9" w:rsidRDefault="002B4148" w:rsidP="00955663">
      <w:pPr>
        <w:pStyle w:val="Nadpis2"/>
        <w:numPr>
          <w:ilvl w:val="3"/>
          <w:numId w:val="79"/>
        </w:numPr>
        <w:spacing w:before="120" w:after="0"/>
        <w:ind w:left="1560" w:hanging="709"/>
        <w:jc w:val="both"/>
        <w:rPr>
          <w:b w:val="0"/>
          <w:sz w:val="14"/>
          <w:szCs w:val="14"/>
        </w:rPr>
      </w:pPr>
      <w:r w:rsidRPr="0021745B">
        <w:rPr>
          <w:b w:val="0"/>
          <w:sz w:val="14"/>
          <w:szCs w:val="14"/>
        </w:rPr>
        <w:t>Profesionální zákazník na žádost bude na základě písemné Žádosti zařazen zpět do kategorie Neprofesionálních zákazníků; získá tak nejvyšší stupeň ochrany a Banka vůči němu bude povinna dodržovat Povinnosti v nejširším rozsahu.</w:t>
      </w:r>
    </w:p>
    <w:p w:rsidR="003921B9" w:rsidRDefault="002B4148" w:rsidP="00955663">
      <w:pPr>
        <w:pStyle w:val="Nadpis2"/>
        <w:numPr>
          <w:ilvl w:val="3"/>
          <w:numId w:val="79"/>
        </w:numPr>
        <w:spacing w:before="120" w:after="0"/>
        <w:ind w:left="1560" w:hanging="709"/>
        <w:jc w:val="both"/>
        <w:rPr>
          <w:b w:val="0"/>
          <w:bCs/>
          <w:sz w:val="14"/>
          <w:szCs w:val="14"/>
        </w:rPr>
      </w:pPr>
      <w:r w:rsidRPr="0021745B">
        <w:rPr>
          <w:b w:val="0"/>
          <w:sz w:val="14"/>
          <w:szCs w:val="14"/>
        </w:rPr>
        <w:t>Profesionální zákazník na žádost bude na základě písemné Žádosti zařazen do kategorie Způsobilá protistrana na žádost; získá tak nejnižší stupeň ochrany a Banka vůči němu nebude povinna dodržovat Povinnosti</w:t>
      </w:r>
      <w:r w:rsidRPr="0021745B">
        <w:rPr>
          <w:b w:val="0"/>
          <w:bCs/>
          <w:sz w:val="14"/>
          <w:szCs w:val="14"/>
        </w:rPr>
        <w:t xml:space="preserve"> </w:t>
      </w:r>
      <w:r w:rsidRPr="0021745B">
        <w:rPr>
          <w:b w:val="0"/>
          <w:sz w:val="14"/>
          <w:szCs w:val="14"/>
        </w:rPr>
        <w:t>v nejširším rozsahu ani Povinnosti v užším rozsahu.</w:t>
      </w:r>
    </w:p>
    <w:p w:rsidR="003921B9" w:rsidRDefault="002B4148" w:rsidP="00955663">
      <w:pPr>
        <w:pStyle w:val="Nadpis2"/>
        <w:numPr>
          <w:ilvl w:val="1"/>
          <w:numId w:val="79"/>
        </w:numPr>
        <w:spacing w:before="120" w:after="0"/>
        <w:ind w:left="426" w:hanging="426"/>
        <w:jc w:val="both"/>
        <w:rPr>
          <w:b w:val="0"/>
          <w:bCs/>
          <w:sz w:val="14"/>
          <w:szCs w:val="14"/>
        </w:rPr>
      </w:pPr>
      <w:r w:rsidRPr="0021745B">
        <w:rPr>
          <w:b w:val="0"/>
          <w:bCs/>
          <w:sz w:val="14"/>
          <w:szCs w:val="14"/>
        </w:rPr>
        <w:t>Způsobilá protistrana</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 xml:space="preserve">Stupeň ochrany </w:t>
      </w:r>
    </w:p>
    <w:p w:rsidR="003921B9" w:rsidRDefault="002B4148" w:rsidP="00955663">
      <w:pPr>
        <w:pStyle w:val="Body1"/>
        <w:spacing w:before="120" w:after="0"/>
        <w:ind w:left="426"/>
        <w:rPr>
          <w:rFonts w:cs="Arial"/>
          <w:color w:val="000000"/>
          <w:sz w:val="14"/>
          <w:szCs w:val="14"/>
          <w:lang w:val="cs-CZ"/>
        </w:rPr>
      </w:pPr>
      <w:r w:rsidRPr="0021745B">
        <w:rPr>
          <w:rFonts w:cs="Arial"/>
          <w:color w:val="000000"/>
          <w:sz w:val="14"/>
          <w:szCs w:val="14"/>
          <w:lang w:val="cs-CZ"/>
        </w:rPr>
        <w:t>Způsobilé protistraně náleží nejnižší stupeň ochrany; Banka vůči ní není povinna dodržovat Povinnosti v nejširším rozsahu ani Povinnosti v užším rozsahu.</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Možnosti přestupu</w:t>
      </w:r>
    </w:p>
    <w:p w:rsidR="003921B9" w:rsidRDefault="002B4148" w:rsidP="00955663">
      <w:pPr>
        <w:pStyle w:val="Nadpis2"/>
        <w:numPr>
          <w:ilvl w:val="3"/>
          <w:numId w:val="79"/>
        </w:numPr>
        <w:spacing w:before="120" w:after="0"/>
        <w:ind w:left="1560" w:hanging="709"/>
        <w:jc w:val="both"/>
        <w:rPr>
          <w:b w:val="0"/>
          <w:sz w:val="14"/>
          <w:szCs w:val="14"/>
        </w:rPr>
      </w:pPr>
      <w:r w:rsidRPr="0021745B">
        <w:rPr>
          <w:b w:val="0"/>
          <w:sz w:val="14"/>
          <w:szCs w:val="14"/>
        </w:rPr>
        <w:t>Způsobilá protistrana může být na základě dohody s Bankou zařazena do kategorie Neprofesionálních zákazníků; získá tak nejvyšší stupeň ochrany a Banka vůči ní bude povinna dodržovat Povinnosti v nejširším</w:t>
      </w:r>
      <w:r w:rsidR="00B70A48">
        <w:rPr>
          <w:b w:val="0"/>
          <w:sz w:val="14"/>
          <w:szCs w:val="14"/>
        </w:rPr>
        <w:t xml:space="preserve"> rozsahu. Dohoda mezi Bankou a </w:t>
      </w:r>
      <w:r w:rsidR="00141302" w:rsidRPr="00141302">
        <w:rPr>
          <w:b w:val="0"/>
          <w:sz w:val="14"/>
          <w:szCs w:val="14"/>
        </w:rPr>
        <w:t>zákazníkem</w:t>
      </w:r>
      <w:r w:rsidRPr="0021745B">
        <w:rPr>
          <w:b w:val="0"/>
          <w:sz w:val="14"/>
          <w:szCs w:val="14"/>
        </w:rPr>
        <w:t xml:space="preserve"> o přestupu </w:t>
      </w:r>
      <w:r w:rsidR="00B70A48">
        <w:rPr>
          <w:b w:val="0"/>
          <w:sz w:val="14"/>
          <w:szCs w:val="14"/>
        </w:rPr>
        <w:t>k</w:t>
      </w:r>
      <w:r w:rsidRPr="0021745B">
        <w:rPr>
          <w:b w:val="0"/>
          <w:sz w:val="14"/>
          <w:szCs w:val="14"/>
        </w:rPr>
        <w:t xml:space="preserve">lienta do kategorie Neprofesionální zákazník musí obsahovat informace o tom, které </w:t>
      </w:r>
      <w:r w:rsidR="00B70A48">
        <w:rPr>
          <w:b w:val="0"/>
          <w:sz w:val="14"/>
          <w:szCs w:val="14"/>
        </w:rPr>
        <w:t>s</w:t>
      </w:r>
      <w:r w:rsidRPr="0021745B">
        <w:rPr>
          <w:b w:val="0"/>
          <w:sz w:val="14"/>
          <w:szCs w:val="14"/>
        </w:rPr>
        <w:t>lužby nebo kterého obchodu s</w:t>
      </w:r>
      <w:r w:rsidR="00B70A48">
        <w:rPr>
          <w:b w:val="0"/>
          <w:sz w:val="14"/>
          <w:szCs w:val="14"/>
        </w:rPr>
        <w:t> investičním n</w:t>
      </w:r>
      <w:r w:rsidRPr="0021745B">
        <w:rPr>
          <w:b w:val="0"/>
          <w:sz w:val="14"/>
          <w:szCs w:val="14"/>
        </w:rPr>
        <w:t xml:space="preserve">ástrojem se má změna zařazení týkat; v případě, že dohoda není písemná, Banka vydá na základě </w:t>
      </w:r>
      <w:r w:rsidR="00296388">
        <w:rPr>
          <w:b w:val="0"/>
          <w:sz w:val="14"/>
          <w:szCs w:val="14"/>
        </w:rPr>
        <w:t>klientovy</w:t>
      </w:r>
      <w:r w:rsidRPr="0021745B">
        <w:rPr>
          <w:b w:val="0"/>
          <w:sz w:val="14"/>
          <w:szCs w:val="14"/>
        </w:rPr>
        <w:t xml:space="preserve"> výzvy potvrzení o výše uvedených skutečnostech.</w:t>
      </w:r>
    </w:p>
    <w:p w:rsidR="003921B9" w:rsidRDefault="002B4148" w:rsidP="00955663">
      <w:pPr>
        <w:pStyle w:val="Nadpis2"/>
        <w:numPr>
          <w:ilvl w:val="3"/>
          <w:numId w:val="79"/>
        </w:numPr>
        <w:spacing w:before="120" w:after="0"/>
        <w:ind w:left="1560" w:hanging="709"/>
        <w:jc w:val="both"/>
        <w:rPr>
          <w:b w:val="0"/>
          <w:sz w:val="14"/>
          <w:szCs w:val="14"/>
        </w:rPr>
      </w:pPr>
      <w:r w:rsidRPr="0021745B">
        <w:rPr>
          <w:b w:val="0"/>
          <w:sz w:val="14"/>
          <w:szCs w:val="14"/>
        </w:rPr>
        <w:t xml:space="preserve">Způsobilá protistrana může být </w:t>
      </w:r>
      <w:r w:rsidR="00831C30">
        <w:rPr>
          <w:b w:val="0"/>
          <w:sz w:val="14"/>
          <w:szCs w:val="14"/>
        </w:rPr>
        <w:t xml:space="preserve">na </w:t>
      </w:r>
      <w:r w:rsidRPr="0021745B">
        <w:rPr>
          <w:b w:val="0"/>
          <w:sz w:val="14"/>
          <w:szCs w:val="14"/>
        </w:rPr>
        <w:t xml:space="preserve">základě písemné </w:t>
      </w:r>
      <w:r w:rsidR="00141302">
        <w:rPr>
          <w:b w:val="0"/>
          <w:sz w:val="14"/>
          <w:szCs w:val="14"/>
        </w:rPr>
        <w:t>ž</w:t>
      </w:r>
      <w:r w:rsidRPr="00141302">
        <w:rPr>
          <w:b w:val="0"/>
          <w:sz w:val="14"/>
          <w:szCs w:val="14"/>
        </w:rPr>
        <w:t>ádosti</w:t>
      </w:r>
      <w:r w:rsidRPr="0021745B">
        <w:rPr>
          <w:b w:val="0"/>
          <w:sz w:val="14"/>
          <w:szCs w:val="14"/>
        </w:rPr>
        <w:t xml:space="preserve"> zařazena do kategorie Profesionálních zákazníků na žádost; získá tak střední stupeň ochrany a Banka vůči ní bude povinna dodržovat Povinnosti v užším rozsahu. Banka není povinna </w:t>
      </w:r>
      <w:r w:rsidR="00141302" w:rsidRPr="00141302">
        <w:rPr>
          <w:b w:val="0"/>
          <w:sz w:val="14"/>
          <w:szCs w:val="14"/>
        </w:rPr>
        <w:t>ž</w:t>
      </w:r>
      <w:r w:rsidRPr="00141302">
        <w:rPr>
          <w:b w:val="0"/>
          <w:sz w:val="14"/>
          <w:szCs w:val="14"/>
        </w:rPr>
        <w:t>ádosti</w:t>
      </w:r>
      <w:r w:rsidRPr="0021745B">
        <w:rPr>
          <w:b w:val="0"/>
          <w:sz w:val="14"/>
          <w:szCs w:val="14"/>
        </w:rPr>
        <w:t xml:space="preserve"> vyhovět.</w:t>
      </w:r>
    </w:p>
    <w:p w:rsidR="003921B9" w:rsidRDefault="002B4148" w:rsidP="00955663">
      <w:pPr>
        <w:pStyle w:val="Nadpis2"/>
        <w:numPr>
          <w:ilvl w:val="1"/>
          <w:numId w:val="79"/>
        </w:numPr>
        <w:spacing w:before="120" w:after="0"/>
        <w:ind w:left="426" w:hanging="426"/>
        <w:jc w:val="both"/>
        <w:rPr>
          <w:b w:val="0"/>
          <w:bCs/>
          <w:sz w:val="14"/>
          <w:szCs w:val="14"/>
        </w:rPr>
      </w:pPr>
      <w:r w:rsidRPr="0021745B">
        <w:rPr>
          <w:b w:val="0"/>
          <w:bCs/>
          <w:sz w:val="14"/>
          <w:szCs w:val="14"/>
        </w:rPr>
        <w:t>Způsobilá protistrana na žádost</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Stupeň ochrany</w:t>
      </w:r>
    </w:p>
    <w:p w:rsidR="003921B9" w:rsidRDefault="002B4148" w:rsidP="00955663">
      <w:pPr>
        <w:pStyle w:val="Nadpis2"/>
        <w:numPr>
          <w:ilvl w:val="3"/>
          <w:numId w:val="79"/>
        </w:numPr>
        <w:spacing w:before="120" w:after="0"/>
        <w:ind w:left="1560" w:hanging="709"/>
        <w:jc w:val="both"/>
        <w:rPr>
          <w:b w:val="0"/>
          <w:color w:val="000000"/>
          <w:sz w:val="14"/>
          <w:szCs w:val="14"/>
        </w:rPr>
      </w:pPr>
      <w:r w:rsidRPr="0021745B">
        <w:rPr>
          <w:b w:val="0"/>
          <w:sz w:val="14"/>
          <w:szCs w:val="14"/>
        </w:rPr>
        <w:t>Způsobilé</w:t>
      </w:r>
      <w:r w:rsidRPr="0021745B">
        <w:rPr>
          <w:b w:val="0"/>
          <w:color w:val="000000"/>
          <w:sz w:val="14"/>
          <w:szCs w:val="14"/>
        </w:rPr>
        <w:t xml:space="preserve"> protistraně na žádost náleží </w:t>
      </w:r>
      <w:r w:rsidRPr="0021745B">
        <w:rPr>
          <w:b w:val="0"/>
          <w:bCs/>
          <w:color w:val="000000"/>
          <w:sz w:val="14"/>
          <w:szCs w:val="14"/>
        </w:rPr>
        <w:t>nejnižší stupeň ochrany; Banka vůči ní není</w:t>
      </w:r>
      <w:r w:rsidRPr="0021745B">
        <w:rPr>
          <w:b w:val="0"/>
          <w:color w:val="000000"/>
          <w:sz w:val="14"/>
          <w:szCs w:val="14"/>
        </w:rPr>
        <w:t xml:space="preserve"> povinna dodržovat Povinnosti v nejširším rozsahu ani Povinnosti v užším rozsahu.</w:t>
      </w:r>
    </w:p>
    <w:p w:rsidR="003921B9" w:rsidRDefault="002B4148" w:rsidP="00955663">
      <w:pPr>
        <w:pStyle w:val="Nadpis2"/>
        <w:numPr>
          <w:ilvl w:val="2"/>
          <w:numId w:val="79"/>
        </w:numPr>
        <w:spacing w:before="120" w:after="0"/>
        <w:ind w:left="851" w:hanging="425"/>
        <w:jc w:val="both"/>
        <w:rPr>
          <w:sz w:val="14"/>
          <w:szCs w:val="14"/>
        </w:rPr>
      </w:pPr>
      <w:r w:rsidRPr="0021745B">
        <w:rPr>
          <w:sz w:val="14"/>
          <w:szCs w:val="14"/>
        </w:rPr>
        <w:t>Možnosti přestupu</w:t>
      </w:r>
    </w:p>
    <w:p w:rsidR="003921B9" w:rsidRDefault="002B4148" w:rsidP="00955663">
      <w:pPr>
        <w:pStyle w:val="Nadpis2"/>
        <w:numPr>
          <w:ilvl w:val="3"/>
          <w:numId w:val="79"/>
        </w:numPr>
        <w:spacing w:before="120" w:after="0"/>
        <w:ind w:left="1560" w:hanging="709"/>
        <w:jc w:val="both"/>
        <w:rPr>
          <w:b w:val="0"/>
          <w:sz w:val="14"/>
          <w:szCs w:val="14"/>
        </w:rPr>
      </w:pPr>
      <w:r w:rsidRPr="0021745B">
        <w:rPr>
          <w:b w:val="0"/>
          <w:sz w:val="14"/>
          <w:szCs w:val="14"/>
        </w:rPr>
        <w:t>Způsobilá protistrana bude na základě písemné Žádosti zařazena zpět do původní kategorie zákazníků; získá tak vyšší stupeň ochrany a Banka vůči ní bude povinna dodržovat Povinnosti v užším rozsahu nebo Povinnosti v nejširším rozsahu.</w:t>
      </w:r>
    </w:p>
    <w:p w:rsidR="003921B9" w:rsidRDefault="002B4148">
      <w:pPr>
        <w:pStyle w:val="Nadpis1"/>
        <w:keepNext/>
        <w:keepLines/>
        <w:numPr>
          <w:ilvl w:val="0"/>
          <w:numId w:val="16"/>
        </w:numPr>
        <w:overflowPunct/>
        <w:autoSpaceDE/>
        <w:autoSpaceDN/>
        <w:adjustRightInd/>
        <w:spacing w:after="0"/>
        <w:jc w:val="both"/>
        <w:textAlignment w:val="auto"/>
        <w:rPr>
          <w:sz w:val="14"/>
          <w:szCs w:val="14"/>
        </w:rPr>
      </w:pPr>
      <w:r w:rsidRPr="0021745B">
        <w:rPr>
          <w:sz w:val="14"/>
          <w:szCs w:val="14"/>
        </w:rPr>
        <w:t>Pravidla pro střet zájmů</w:t>
      </w:r>
    </w:p>
    <w:p w:rsidR="003921B9" w:rsidRDefault="002B4148">
      <w:pPr>
        <w:pStyle w:val="Body1"/>
        <w:spacing w:before="120" w:after="0"/>
        <w:ind w:left="425"/>
        <w:rPr>
          <w:rFonts w:cs="Arial"/>
          <w:bCs/>
          <w:iCs/>
          <w:sz w:val="14"/>
          <w:szCs w:val="14"/>
          <w:lang w:val="cs-CZ" w:eastAsia="en-US"/>
        </w:rPr>
      </w:pPr>
      <w:r w:rsidRPr="0021745B">
        <w:rPr>
          <w:rFonts w:cs="Arial"/>
          <w:bCs/>
          <w:iCs/>
          <w:sz w:val="14"/>
          <w:szCs w:val="14"/>
          <w:lang w:val="cs-CZ" w:eastAsia="en-US"/>
        </w:rPr>
        <w:t xml:space="preserve">Banka poskytuje </w:t>
      </w:r>
      <w:r w:rsidRPr="0021745B">
        <w:rPr>
          <w:rFonts w:cs="Arial"/>
          <w:iCs/>
          <w:sz w:val="14"/>
          <w:szCs w:val="14"/>
          <w:lang w:val="cs-CZ"/>
        </w:rPr>
        <w:t>popis pravidel pro případ střetu zájmů</w:t>
      </w:r>
      <w:r w:rsidRPr="0021745B">
        <w:rPr>
          <w:rFonts w:cs="Arial"/>
          <w:bCs/>
          <w:iCs/>
          <w:sz w:val="14"/>
          <w:szCs w:val="14"/>
          <w:lang w:val="cs-CZ" w:eastAsia="en-US"/>
        </w:rPr>
        <w:t xml:space="preserve"> v písemné podo</w:t>
      </w:r>
      <w:r w:rsidR="003A7155">
        <w:rPr>
          <w:rFonts w:cs="Arial"/>
          <w:bCs/>
          <w:iCs/>
          <w:sz w:val="14"/>
          <w:szCs w:val="14"/>
          <w:lang w:val="cs-CZ" w:eastAsia="en-US"/>
        </w:rPr>
        <w:t xml:space="preserve">bě </w:t>
      </w:r>
      <w:r w:rsidR="00CC59B9">
        <w:rPr>
          <w:rFonts w:cs="Arial"/>
          <w:bCs/>
          <w:iCs/>
          <w:sz w:val="14"/>
          <w:szCs w:val="14"/>
          <w:lang w:val="cs-CZ" w:eastAsia="en-US"/>
        </w:rPr>
        <w:t>ve</w:t>
      </w:r>
      <w:r w:rsidR="003A7155">
        <w:rPr>
          <w:rFonts w:cs="Arial"/>
          <w:bCs/>
          <w:iCs/>
          <w:sz w:val="14"/>
          <w:szCs w:val="14"/>
          <w:lang w:val="cs-CZ" w:eastAsia="en-US"/>
        </w:rPr>
        <w:t xml:space="preserve"> svých </w:t>
      </w:r>
      <w:r w:rsidR="00CC59B9">
        <w:rPr>
          <w:rFonts w:cs="Arial"/>
          <w:bCs/>
          <w:iCs/>
          <w:sz w:val="14"/>
          <w:szCs w:val="14"/>
          <w:lang w:val="cs-CZ" w:eastAsia="en-US"/>
        </w:rPr>
        <w:t>obchodních místech</w:t>
      </w:r>
      <w:r w:rsidR="003A7155">
        <w:rPr>
          <w:rFonts w:cs="Arial"/>
          <w:bCs/>
          <w:iCs/>
          <w:sz w:val="14"/>
          <w:szCs w:val="14"/>
          <w:lang w:val="cs-CZ" w:eastAsia="en-US"/>
        </w:rPr>
        <w:t xml:space="preserve"> a též na i</w:t>
      </w:r>
      <w:r w:rsidRPr="0021745B">
        <w:rPr>
          <w:rFonts w:cs="Arial"/>
          <w:bCs/>
          <w:iCs/>
          <w:sz w:val="14"/>
          <w:szCs w:val="14"/>
          <w:lang w:val="cs-CZ" w:eastAsia="en-US"/>
        </w:rPr>
        <w:t>nternetové adrese</w:t>
      </w:r>
      <w:r w:rsidR="003A7155">
        <w:rPr>
          <w:rFonts w:cs="Arial"/>
          <w:bCs/>
          <w:iCs/>
          <w:sz w:val="14"/>
          <w:szCs w:val="14"/>
          <w:lang w:val="cs-CZ" w:eastAsia="en-US"/>
        </w:rPr>
        <w:t xml:space="preserve"> www.kb.cz. Banka poskytne k</w:t>
      </w:r>
      <w:r w:rsidRPr="0021745B">
        <w:rPr>
          <w:rFonts w:cs="Arial"/>
          <w:bCs/>
          <w:iCs/>
          <w:sz w:val="14"/>
          <w:szCs w:val="14"/>
          <w:lang w:val="cs-CZ" w:eastAsia="en-US"/>
        </w:rPr>
        <w:t>lientovi na jeho žádost podrobnosti týkající se střetu zájmů.</w:t>
      </w:r>
    </w:p>
    <w:p w:rsidR="002B4148" w:rsidRPr="0021745B" w:rsidRDefault="002B4148" w:rsidP="003A7155">
      <w:pPr>
        <w:pStyle w:val="Styl5"/>
        <w:spacing w:before="100" w:beforeAutospacing="1" w:after="100" w:afterAutospacing="1"/>
        <w:rPr>
          <w:rStyle w:val="ARIAL9B"/>
          <w:sz w:val="14"/>
          <w:szCs w:val="14"/>
        </w:rPr>
        <w:sectPr w:rsidR="002B4148" w:rsidRPr="0021745B" w:rsidSect="00DD1F4F">
          <w:type w:val="continuous"/>
          <w:pgSz w:w="11907" w:h="16840" w:code="9"/>
          <w:pgMar w:top="2552" w:right="1134" w:bottom="1588" w:left="1134" w:header="454" w:footer="397" w:gutter="0"/>
          <w:cols w:num="2" w:space="709"/>
        </w:sectPr>
      </w:pPr>
    </w:p>
    <w:p w:rsidR="002B4148" w:rsidRDefault="002B4148" w:rsidP="00141302">
      <w:pPr>
        <w:pStyle w:val="Nadpis1"/>
        <w:keepNext/>
        <w:overflowPunct/>
        <w:autoSpaceDE/>
        <w:autoSpaceDN/>
        <w:adjustRightInd/>
        <w:spacing w:before="100" w:beforeAutospacing="1" w:after="100" w:afterAutospacing="1"/>
        <w:textAlignment w:val="auto"/>
        <w:rPr>
          <w:sz w:val="18"/>
          <w:szCs w:val="18"/>
        </w:rPr>
      </w:pPr>
      <w:bookmarkStart w:id="6" w:name="podpisy1"/>
      <w:bookmarkEnd w:id="0"/>
      <w:bookmarkEnd w:id="6"/>
    </w:p>
    <w:sectPr w:rsidR="002B4148" w:rsidSect="00B415B2">
      <w:headerReference w:type="default" r:id="rId10"/>
      <w:type w:val="continuous"/>
      <w:pgSz w:w="11907" w:h="16840" w:code="9"/>
      <w:pgMar w:top="1134" w:right="1134" w:bottom="1134" w:left="1134" w:header="454" w:footer="397" w:gutter="0"/>
      <w:cols w:space="708" w:equalWidth="0">
        <w:col w:w="9406" w:space="7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416" w:rsidRDefault="00B20416">
      <w:r>
        <w:separator/>
      </w:r>
    </w:p>
  </w:endnote>
  <w:endnote w:type="continuationSeparator" w:id="0">
    <w:p w:rsidR="00B20416" w:rsidRDefault="00B204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Garamond MT">
    <w:altName w:val="Garamond"/>
    <w:charset w:val="EE"/>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KBlogo">
    <w:panose1 w:val="000004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601"/>
      <w:gridCol w:w="4038"/>
    </w:tblGrid>
    <w:tr w:rsidR="003921B9">
      <w:tc>
        <w:tcPr>
          <w:tcW w:w="5601" w:type="dxa"/>
          <w:tcBorders>
            <w:top w:val="nil"/>
            <w:left w:val="nil"/>
            <w:bottom w:val="nil"/>
            <w:right w:val="nil"/>
          </w:tcBorders>
        </w:tcPr>
        <w:p w:rsidR="003921B9" w:rsidRDefault="003921B9">
          <w:pPr>
            <w:pStyle w:val="kbFixedtext"/>
            <w:spacing w:before="100"/>
          </w:pPr>
          <w:r>
            <w:t xml:space="preserve">Komerční banka, a.s., se sídlem: </w:t>
          </w:r>
        </w:p>
        <w:p w:rsidR="003921B9" w:rsidRDefault="003921B9">
          <w:pPr>
            <w:pStyle w:val="kbFixedtext"/>
          </w:pPr>
          <w:r>
            <w:t xml:space="preserve">Praha 1, Na Příkopě 33 </w:t>
          </w:r>
          <w:proofErr w:type="spellStart"/>
          <w:r>
            <w:t>čp</w:t>
          </w:r>
          <w:proofErr w:type="spellEnd"/>
          <w:r>
            <w:t>. 969, PSČ 114 07, IČ: 45317054</w:t>
          </w:r>
        </w:p>
        <w:p w:rsidR="003921B9" w:rsidRDefault="003921B9">
          <w:pPr>
            <w:pStyle w:val="kbRegistration"/>
          </w:pPr>
          <w:r>
            <w:t>ZAPSANÁ V OBCHODNÍM REJSTŘÍKU VEDENÉM MĚSTSKÝm SOUDEM V PRAZE, ODDÍL B, VLOŽKA 1360</w:t>
          </w:r>
        </w:p>
      </w:tc>
      <w:tc>
        <w:tcPr>
          <w:tcW w:w="4038" w:type="dxa"/>
          <w:tcBorders>
            <w:top w:val="nil"/>
            <w:left w:val="nil"/>
            <w:bottom w:val="nil"/>
            <w:right w:val="nil"/>
          </w:tcBorders>
        </w:tcPr>
        <w:p w:rsidR="003921B9" w:rsidRDefault="002E1D92">
          <w:pPr>
            <w:pStyle w:val="kbFixedtext"/>
            <w:spacing w:before="100"/>
            <w:jc w:val="right"/>
            <w:rPr>
              <w:rStyle w:val="slostrnky"/>
            </w:rPr>
          </w:pPr>
          <w:r>
            <w:rPr>
              <w:rStyle w:val="slostrnky"/>
              <w:color w:val="000000"/>
              <w:lang w:val="en-AU"/>
            </w:rPr>
            <w:fldChar w:fldCharType="begin"/>
          </w:r>
          <w:r w:rsidR="003921B9" w:rsidRPr="00586E5A">
            <w:rPr>
              <w:rStyle w:val="slostrnky"/>
              <w:color w:val="000000"/>
            </w:rPr>
            <w:instrText xml:space="preserve"> PAGE </w:instrText>
          </w:r>
          <w:r>
            <w:rPr>
              <w:rStyle w:val="slostrnky"/>
              <w:color w:val="000000"/>
              <w:lang w:val="en-AU"/>
            </w:rPr>
            <w:fldChar w:fldCharType="separate"/>
          </w:r>
          <w:r w:rsidR="00300A40">
            <w:rPr>
              <w:rStyle w:val="slostrnky"/>
              <w:noProof/>
              <w:color w:val="000000"/>
            </w:rPr>
            <w:t>1</w:t>
          </w:r>
          <w:r>
            <w:rPr>
              <w:rStyle w:val="slostrnky"/>
              <w:color w:val="000000"/>
              <w:lang w:val="en-AU"/>
            </w:rPr>
            <w:fldChar w:fldCharType="end"/>
          </w:r>
          <w:r w:rsidR="003921B9" w:rsidRPr="00586E5A">
            <w:rPr>
              <w:rStyle w:val="slostrnky"/>
              <w:color w:val="000000"/>
            </w:rPr>
            <w:t>/</w:t>
          </w:r>
          <w:r>
            <w:rPr>
              <w:rStyle w:val="slostrnky"/>
              <w:color w:val="000000"/>
              <w:lang w:val="en-AU"/>
            </w:rPr>
            <w:fldChar w:fldCharType="begin"/>
          </w:r>
          <w:r w:rsidR="003921B9" w:rsidRPr="00586E5A">
            <w:rPr>
              <w:rStyle w:val="slostrnky"/>
              <w:color w:val="000000"/>
            </w:rPr>
            <w:instrText xml:space="preserve"> NUMPAGES </w:instrText>
          </w:r>
          <w:r>
            <w:rPr>
              <w:rStyle w:val="slostrnky"/>
              <w:color w:val="000000"/>
              <w:lang w:val="en-AU"/>
            </w:rPr>
            <w:fldChar w:fldCharType="separate"/>
          </w:r>
          <w:r w:rsidR="00300A40">
            <w:rPr>
              <w:rStyle w:val="slostrnky"/>
              <w:noProof/>
              <w:color w:val="000000"/>
            </w:rPr>
            <w:t>3</w:t>
          </w:r>
          <w:r>
            <w:rPr>
              <w:rStyle w:val="slostrnky"/>
              <w:color w:val="000000"/>
              <w:lang w:val="en-AU"/>
            </w:rPr>
            <w:fldChar w:fldCharType="end"/>
          </w:r>
        </w:p>
        <w:p w:rsidR="003921B9" w:rsidRPr="00F94C4C" w:rsidRDefault="003921B9">
          <w:pPr>
            <w:pStyle w:val="Registration"/>
            <w:jc w:val="right"/>
            <w:rPr>
              <w:szCs w:val="8"/>
            </w:rPr>
          </w:pPr>
          <w:r w:rsidRPr="00F94C4C">
            <w:rPr>
              <w:szCs w:val="8"/>
            </w:rPr>
            <w:t>Datum účinnosti šablony</w:t>
          </w:r>
          <w:r>
            <w:rPr>
              <w:szCs w:val="8"/>
            </w:rPr>
            <w:t xml:space="preserve"> 1.11.2013</w:t>
          </w:r>
        </w:p>
        <w:p w:rsidR="003921B9" w:rsidRDefault="003921B9">
          <w:pPr>
            <w:pStyle w:val="Registration"/>
            <w:jc w:val="right"/>
          </w:pPr>
        </w:p>
      </w:tc>
    </w:tr>
  </w:tbl>
  <w:p w:rsidR="003921B9" w:rsidRDefault="003921B9">
    <w:pPr>
      <w:pStyle w:val="kbRegistration"/>
      <w:spacing w:befor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416" w:rsidRDefault="00B20416">
      <w:r>
        <w:separator/>
      </w:r>
    </w:p>
  </w:footnote>
  <w:footnote w:type="continuationSeparator" w:id="0">
    <w:p w:rsidR="00B20416" w:rsidRDefault="00B20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88" w:type="dxa"/>
      <w:tblInd w:w="-170" w:type="dxa"/>
      <w:tblLayout w:type="fixed"/>
      <w:tblCellMar>
        <w:left w:w="70" w:type="dxa"/>
        <w:right w:w="70" w:type="dxa"/>
      </w:tblCellMar>
      <w:tblLook w:val="0000"/>
    </w:tblPr>
    <w:tblGrid>
      <w:gridCol w:w="2508"/>
      <w:gridCol w:w="8080"/>
    </w:tblGrid>
    <w:tr w:rsidR="003921B9">
      <w:tc>
        <w:tcPr>
          <w:tcW w:w="2508" w:type="dxa"/>
        </w:tcPr>
        <w:p w:rsidR="003921B9" w:rsidRDefault="003921B9" w:rsidP="00751C0A">
          <w:pPr>
            <w:ind w:right="-212"/>
          </w:pPr>
          <w:r>
            <w:rPr>
              <w:rFonts w:ascii="KBlogo" w:hAnsi="KBlogo"/>
              <w:sz w:val="108"/>
            </w:rPr>
            <w:t></w:t>
          </w:r>
        </w:p>
      </w:tc>
      <w:tc>
        <w:tcPr>
          <w:tcW w:w="8080" w:type="dxa"/>
        </w:tcPr>
        <w:p w:rsidR="003A7155" w:rsidRDefault="003921B9" w:rsidP="003A7155">
          <w:pPr>
            <w:pStyle w:val="kbDocumentnameextrenal"/>
            <w:tabs>
              <w:tab w:val="clear" w:pos="6167"/>
              <w:tab w:val="right" w:pos="5884"/>
            </w:tabs>
            <w:spacing w:before="0"/>
            <w:ind w:left="1490" w:right="641"/>
          </w:pPr>
          <w:r>
            <w:tab/>
            <w:t xml:space="preserve">             </w:t>
          </w:r>
        </w:p>
        <w:p w:rsidR="003921B9" w:rsidRDefault="003A7155" w:rsidP="003A7155">
          <w:pPr>
            <w:pStyle w:val="kbDocumentnameextrenal"/>
            <w:tabs>
              <w:tab w:val="clear" w:pos="6167"/>
              <w:tab w:val="right" w:pos="5884"/>
            </w:tabs>
            <w:spacing w:before="0"/>
            <w:ind w:left="1490" w:right="641"/>
          </w:pPr>
          <w:r>
            <w:t xml:space="preserve">                   Informace o službách a nástrojích</w:t>
          </w:r>
          <w:r w:rsidR="003921B9" w:rsidDel="00DC5CC3">
            <w:t xml:space="preserve"> </w:t>
          </w:r>
        </w:p>
      </w:tc>
    </w:tr>
  </w:tbl>
  <w:p w:rsidR="003921B9" w:rsidRDefault="003921B9">
    <w:pPr>
      <w:pStyle w:val="Zhlav"/>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88" w:type="dxa"/>
      <w:tblInd w:w="-170" w:type="dxa"/>
      <w:tblLayout w:type="fixed"/>
      <w:tblCellMar>
        <w:left w:w="70" w:type="dxa"/>
        <w:right w:w="70" w:type="dxa"/>
      </w:tblCellMar>
      <w:tblLook w:val="0000"/>
    </w:tblPr>
    <w:tblGrid>
      <w:gridCol w:w="3979"/>
      <w:gridCol w:w="6609"/>
    </w:tblGrid>
    <w:tr w:rsidR="003921B9">
      <w:trPr>
        <w:trHeight w:val="1418"/>
      </w:trPr>
      <w:tc>
        <w:tcPr>
          <w:tcW w:w="3926" w:type="dxa"/>
          <w:tcBorders>
            <w:top w:val="nil"/>
            <w:left w:val="nil"/>
            <w:bottom w:val="nil"/>
            <w:right w:val="nil"/>
          </w:tcBorders>
        </w:tcPr>
        <w:p w:rsidR="003921B9" w:rsidRDefault="003921B9" w:rsidP="00BD7447">
          <w:r>
            <w:rPr>
              <w:rFonts w:ascii="KBlogo" w:hAnsi="KBlogo" w:cs="KBlogo"/>
              <w:sz w:val="108"/>
              <w:szCs w:val="108"/>
            </w:rPr>
            <w:t></w:t>
          </w:r>
          <w:r>
            <w:t xml:space="preserve"> </w:t>
          </w:r>
        </w:p>
      </w:tc>
      <w:tc>
        <w:tcPr>
          <w:tcW w:w="6520" w:type="dxa"/>
          <w:tcBorders>
            <w:top w:val="nil"/>
            <w:left w:val="nil"/>
            <w:bottom w:val="nil"/>
            <w:right w:val="nil"/>
          </w:tcBorders>
        </w:tcPr>
        <w:p w:rsidR="003921B9" w:rsidRDefault="003921B9">
          <w:pPr>
            <w:pStyle w:val="kbDocumentnameextrenal"/>
            <w:tabs>
              <w:tab w:val="clear" w:pos="6167"/>
              <w:tab w:val="right" w:pos="5830"/>
            </w:tabs>
            <w:spacing w:before="0"/>
            <w:ind w:right="639"/>
          </w:pPr>
          <w:r>
            <w:t xml:space="preserve">              </w:t>
          </w:r>
          <w:r w:rsidRPr="00EF521A">
            <w:t>Smlouva o</w:t>
          </w:r>
          <w:r>
            <w:t xml:space="preserve"> hromadné úschově emise </w:t>
          </w:r>
        </w:p>
        <w:p w:rsidR="003921B9" w:rsidRDefault="003921B9">
          <w:pPr>
            <w:pStyle w:val="kbDocumentnameextrenal"/>
            <w:tabs>
              <w:tab w:val="clear" w:pos="6167"/>
              <w:tab w:val="right" w:pos="7017"/>
            </w:tabs>
            <w:spacing w:before="0"/>
            <w:ind w:right="639"/>
          </w:pPr>
          <w:r>
            <w:t xml:space="preserve">                                                   cenných papírů</w:t>
          </w:r>
        </w:p>
      </w:tc>
    </w:tr>
  </w:tbl>
  <w:p w:rsidR="003921B9" w:rsidRDefault="003921B9">
    <w:pPr>
      <w:pStyle w:val="Zhlav"/>
    </w:pPr>
  </w:p>
  <w:p w:rsidR="003921B9" w:rsidRDefault="003921B9">
    <w:pPr>
      <w:pStyle w:val="Zhlav"/>
    </w:pPr>
  </w:p>
  <w:p w:rsidR="003921B9" w:rsidRDefault="003921B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7037"/>
    <w:multiLevelType w:val="hybridMultilevel"/>
    <w:tmpl w:val="636A6268"/>
    <w:lvl w:ilvl="0" w:tplc="DBF87028">
      <w:start w:val="1"/>
      <w:numFmt w:val="lowerLetter"/>
      <w:lvlText w:val="(%1)"/>
      <w:lvlJc w:val="left"/>
      <w:pPr>
        <w:tabs>
          <w:tab w:val="num" w:pos="5826"/>
        </w:tabs>
        <w:ind w:left="5826" w:hanging="360"/>
      </w:pPr>
      <w:rPr>
        <w:rFonts w:hint="default"/>
      </w:rPr>
    </w:lvl>
    <w:lvl w:ilvl="1" w:tplc="04050019" w:tentative="1">
      <w:start w:val="1"/>
      <w:numFmt w:val="lowerLetter"/>
      <w:lvlText w:val="%2."/>
      <w:lvlJc w:val="left"/>
      <w:pPr>
        <w:tabs>
          <w:tab w:val="num" w:pos="6546"/>
        </w:tabs>
        <w:ind w:left="6546" w:hanging="360"/>
      </w:pPr>
    </w:lvl>
    <w:lvl w:ilvl="2" w:tplc="0405001B" w:tentative="1">
      <w:start w:val="1"/>
      <w:numFmt w:val="lowerRoman"/>
      <w:lvlText w:val="%3."/>
      <w:lvlJc w:val="right"/>
      <w:pPr>
        <w:tabs>
          <w:tab w:val="num" w:pos="7266"/>
        </w:tabs>
        <w:ind w:left="7266" w:hanging="180"/>
      </w:pPr>
    </w:lvl>
    <w:lvl w:ilvl="3" w:tplc="0405000F" w:tentative="1">
      <w:start w:val="1"/>
      <w:numFmt w:val="decimal"/>
      <w:lvlText w:val="%4."/>
      <w:lvlJc w:val="left"/>
      <w:pPr>
        <w:tabs>
          <w:tab w:val="num" w:pos="7986"/>
        </w:tabs>
        <w:ind w:left="7986" w:hanging="360"/>
      </w:pPr>
    </w:lvl>
    <w:lvl w:ilvl="4" w:tplc="04050019" w:tentative="1">
      <w:start w:val="1"/>
      <w:numFmt w:val="lowerLetter"/>
      <w:lvlText w:val="%5."/>
      <w:lvlJc w:val="left"/>
      <w:pPr>
        <w:tabs>
          <w:tab w:val="num" w:pos="8706"/>
        </w:tabs>
        <w:ind w:left="8706" w:hanging="360"/>
      </w:pPr>
    </w:lvl>
    <w:lvl w:ilvl="5" w:tplc="0405001B" w:tentative="1">
      <w:start w:val="1"/>
      <w:numFmt w:val="lowerRoman"/>
      <w:lvlText w:val="%6."/>
      <w:lvlJc w:val="right"/>
      <w:pPr>
        <w:tabs>
          <w:tab w:val="num" w:pos="9426"/>
        </w:tabs>
        <w:ind w:left="9426" w:hanging="180"/>
      </w:pPr>
    </w:lvl>
    <w:lvl w:ilvl="6" w:tplc="0405000F" w:tentative="1">
      <w:start w:val="1"/>
      <w:numFmt w:val="decimal"/>
      <w:lvlText w:val="%7."/>
      <w:lvlJc w:val="left"/>
      <w:pPr>
        <w:tabs>
          <w:tab w:val="num" w:pos="10146"/>
        </w:tabs>
        <w:ind w:left="10146" w:hanging="360"/>
      </w:pPr>
    </w:lvl>
    <w:lvl w:ilvl="7" w:tplc="04050019" w:tentative="1">
      <w:start w:val="1"/>
      <w:numFmt w:val="lowerLetter"/>
      <w:lvlText w:val="%8."/>
      <w:lvlJc w:val="left"/>
      <w:pPr>
        <w:tabs>
          <w:tab w:val="num" w:pos="10866"/>
        </w:tabs>
        <w:ind w:left="10866" w:hanging="360"/>
      </w:pPr>
    </w:lvl>
    <w:lvl w:ilvl="8" w:tplc="0405001B" w:tentative="1">
      <w:start w:val="1"/>
      <w:numFmt w:val="lowerRoman"/>
      <w:lvlText w:val="%9."/>
      <w:lvlJc w:val="right"/>
      <w:pPr>
        <w:tabs>
          <w:tab w:val="num" w:pos="11586"/>
        </w:tabs>
        <w:ind w:left="11586" w:hanging="180"/>
      </w:pPr>
    </w:lvl>
  </w:abstractNum>
  <w:abstractNum w:abstractNumId="1">
    <w:nsid w:val="0868397C"/>
    <w:multiLevelType w:val="multilevel"/>
    <w:tmpl w:val="CF70A42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E080201"/>
    <w:multiLevelType w:val="hybridMultilevel"/>
    <w:tmpl w:val="435A3C76"/>
    <w:lvl w:ilvl="0" w:tplc="6B622BAC">
      <w:start w:val="1"/>
      <w:numFmt w:val="decimal"/>
      <w:lvlText w:val="%1."/>
      <w:lvlJc w:val="left"/>
      <w:pPr>
        <w:tabs>
          <w:tab w:val="num" w:pos="425"/>
        </w:tabs>
        <w:ind w:left="425" w:hanging="425"/>
      </w:pPr>
      <w:rPr>
        <w:rFonts w:ascii="Arial" w:hAnsi="Arial" w:hint="default"/>
        <w:b/>
        <w:i w:val="0"/>
        <w:sz w:val="14"/>
        <w:szCs w:val="1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B974A0"/>
    <w:multiLevelType w:val="multilevel"/>
    <w:tmpl w:val="B1DA99EC"/>
    <w:lvl w:ilvl="0">
      <w:start w:val="1"/>
      <w:numFmt w:val="decimal"/>
      <w:pStyle w:val="Pokus1"/>
      <w:lvlText w:val="%1."/>
      <w:lvlJc w:val="left"/>
      <w:pPr>
        <w:tabs>
          <w:tab w:val="num" w:pos="425"/>
        </w:tabs>
        <w:ind w:left="425" w:hanging="425"/>
      </w:pPr>
      <w:rPr>
        <w:rFonts w:ascii="Arial" w:hAnsi="Arial" w:hint="default"/>
        <w:b/>
        <w:i w:val="0"/>
        <w:color w:val="auto"/>
        <w:sz w:val="18"/>
        <w:szCs w:val="18"/>
      </w:rPr>
    </w:lvl>
    <w:lvl w:ilvl="1">
      <w:start w:val="1"/>
      <w:numFmt w:val="decimal"/>
      <w:lvlText w:val="%1.%2"/>
      <w:lvlJc w:val="left"/>
      <w:pPr>
        <w:tabs>
          <w:tab w:val="num" w:pos="425"/>
        </w:tabs>
        <w:ind w:left="425" w:hanging="425"/>
      </w:pPr>
      <w:rPr>
        <w:rFonts w:ascii="Arial" w:hAnsi="Arial" w:hint="default"/>
        <w:b w:val="0"/>
        <w:i w:val="0"/>
        <w:color w:val="auto"/>
        <w:sz w:val="18"/>
        <w:szCs w:val="18"/>
      </w:rPr>
    </w:lvl>
    <w:lvl w:ilvl="2">
      <w:start w:val="1"/>
      <w:numFmt w:val="decimal"/>
      <w:lvlText w:val="7.3.%3"/>
      <w:lvlJc w:val="left"/>
      <w:pPr>
        <w:tabs>
          <w:tab w:val="num" w:pos="851"/>
        </w:tabs>
        <w:ind w:left="851" w:hanging="426"/>
      </w:pPr>
      <w:rPr>
        <w:rFonts w:ascii="Arial" w:hAnsi="Arial" w:hint="default"/>
        <w:b w:val="0"/>
        <w:i w:val="0"/>
        <w:sz w:val="18"/>
        <w:szCs w:val="18"/>
      </w:rPr>
    </w:lvl>
    <w:lvl w:ilvl="3">
      <w:start w:val="1"/>
      <w:numFmt w:val="decimal"/>
      <w:lvlText w:val="%1.%2.%3.%4."/>
      <w:lvlJc w:val="left"/>
      <w:pPr>
        <w:tabs>
          <w:tab w:val="num" w:pos="708"/>
        </w:tabs>
        <w:ind w:left="708" w:hanging="708"/>
      </w:pPr>
      <w:rPr>
        <w:rFonts w:hint="default"/>
      </w:rPr>
    </w:lvl>
    <w:lvl w:ilvl="4">
      <w:start w:val="1"/>
      <w:numFmt w:val="decimal"/>
      <w:lvlText w:val="%1.%2.%3.%4.%5."/>
      <w:lvlJc w:val="left"/>
      <w:pPr>
        <w:tabs>
          <w:tab w:val="num" w:pos="708"/>
        </w:tabs>
        <w:ind w:left="708" w:hanging="708"/>
      </w:pPr>
      <w:rPr>
        <w:rFonts w:hint="default"/>
      </w:rPr>
    </w:lvl>
    <w:lvl w:ilvl="5">
      <w:start w:val="1"/>
      <w:numFmt w:val="decimal"/>
      <w:lvlText w:val="%1.%2.%3.%4.%5.%6."/>
      <w:lvlJc w:val="left"/>
      <w:pPr>
        <w:tabs>
          <w:tab w:val="num" w:pos="708"/>
        </w:tabs>
        <w:ind w:left="708" w:hanging="708"/>
      </w:pPr>
      <w:rPr>
        <w:rFonts w:hint="default"/>
      </w:rPr>
    </w:lvl>
    <w:lvl w:ilvl="6">
      <w:start w:val="1"/>
      <w:numFmt w:val="decimal"/>
      <w:lvlText w:val="%1.%2.%3.%4.%5.%6.%7."/>
      <w:lvlJc w:val="left"/>
      <w:pPr>
        <w:tabs>
          <w:tab w:val="num" w:pos="708"/>
        </w:tabs>
        <w:ind w:left="708" w:hanging="708"/>
      </w:pPr>
      <w:rPr>
        <w:rFonts w:hint="default"/>
      </w:rPr>
    </w:lvl>
    <w:lvl w:ilvl="7">
      <w:start w:val="1"/>
      <w:numFmt w:val="decimal"/>
      <w:lvlText w:val="%1.%2.%3.%4.%5.%6.%7.%8."/>
      <w:lvlJc w:val="left"/>
      <w:pPr>
        <w:tabs>
          <w:tab w:val="num" w:pos="708"/>
        </w:tabs>
        <w:ind w:left="708" w:hanging="708"/>
      </w:pPr>
      <w:rPr>
        <w:rFonts w:hint="default"/>
      </w:rPr>
    </w:lvl>
    <w:lvl w:ilvl="8">
      <w:start w:val="1"/>
      <w:numFmt w:val="decimal"/>
      <w:lvlText w:val="%1.%2.%3.%4.%5.%6.%7.%8.%9."/>
      <w:lvlJc w:val="left"/>
      <w:pPr>
        <w:tabs>
          <w:tab w:val="num" w:pos="708"/>
        </w:tabs>
        <w:ind w:left="708" w:hanging="708"/>
      </w:pPr>
      <w:rPr>
        <w:rFonts w:hint="default"/>
      </w:rPr>
    </w:lvl>
  </w:abstractNum>
  <w:abstractNum w:abstractNumId="4">
    <w:nsid w:val="0EC95519"/>
    <w:multiLevelType w:val="hybridMultilevel"/>
    <w:tmpl w:val="AF76CE32"/>
    <w:lvl w:ilvl="0" w:tplc="E0F48E7E">
      <w:start w:val="1"/>
      <w:numFmt w:val="lowerRoman"/>
      <w:lvlText w:val="(%1) "/>
      <w:lvlJc w:val="left"/>
      <w:pPr>
        <w:tabs>
          <w:tab w:val="num" w:pos="76"/>
        </w:tabs>
        <w:ind w:left="643" w:hanging="283"/>
      </w:pPr>
      <w:rPr>
        <w:rFonts w:ascii="Arial" w:hAnsi="Arial" w:hint="default"/>
        <w:b w:val="0"/>
        <w:i w:val="0"/>
        <w:sz w:val="18"/>
        <w:szCs w:val="18"/>
        <w:u w:val="none"/>
      </w:rPr>
    </w:lvl>
    <w:lvl w:ilvl="1" w:tplc="EB5CD60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1A81DF8"/>
    <w:multiLevelType w:val="multilevel"/>
    <w:tmpl w:val="BDA02F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4BD3BC5"/>
    <w:multiLevelType w:val="hybridMultilevel"/>
    <w:tmpl w:val="DA2A1A8E"/>
    <w:lvl w:ilvl="0" w:tplc="26FCE9C6">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7">
    <w:nsid w:val="151B6060"/>
    <w:multiLevelType w:val="hybridMultilevel"/>
    <w:tmpl w:val="3E8AC664"/>
    <w:lvl w:ilvl="0" w:tplc="DBF87028">
      <w:start w:val="1"/>
      <w:numFmt w:val="lowerLetter"/>
      <w:lvlText w:val="(%1)"/>
      <w:lvlJc w:val="left"/>
      <w:pPr>
        <w:tabs>
          <w:tab w:val="num" w:pos="5826"/>
        </w:tabs>
        <w:ind w:left="5826" w:hanging="360"/>
      </w:pPr>
      <w:rPr>
        <w:rFonts w:hint="default"/>
      </w:rPr>
    </w:lvl>
    <w:lvl w:ilvl="1" w:tplc="04050019" w:tentative="1">
      <w:start w:val="1"/>
      <w:numFmt w:val="lowerLetter"/>
      <w:lvlText w:val="%2."/>
      <w:lvlJc w:val="left"/>
      <w:pPr>
        <w:tabs>
          <w:tab w:val="num" w:pos="6546"/>
        </w:tabs>
        <w:ind w:left="6546" w:hanging="360"/>
      </w:pPr>
    </w:lvl>
    <w:lvl w:ilvl="2" w:tplc="0405001B" w:tentative="1">
      <w:start w:val="1"/>
      <w:numFmt w:val="lowerRoman"/>
      <w:lvlText w:val="%3."/>
      <w:lvlJc w:val="right"/>
      <w:pPr>
        <w:tabs>
          <w:tab w:val="num" w:pos="7266"/>
        </w:tabs>
        <w:ind w:left="7266" w:hanging="180"/>
      </w:pPr>
    </w:lvl>
    <w:lvl w:ilvl="3" w:tplc="0405000F" w:tentative="1">
      <w:start w:val="1"/>
      <w:numFmt w:val="decimal"/>
      <w:lvlText w:val="%4."/>
      <w:lvlJc w:val="left"/>
      <w:pPr>
        <w:tabs>
          <w:tab w:val="num" w:pos="7986"/>
        </w:tabs>
        <w:ind w:left="7986" w:hanging="360"/>
      </w:pPr>
    </w:lvl>
    <w:lvl w:ilvl="4" w:tplc="04050019" w:tentative="1">
      <w:start w:val="1"/>
      <w:numFmt w:val="lowerLetter"/>
      <w:lvlText w:val="%5."/>
      <w:lvlJc w:val="left"/>
      <w:pPr>
        <w:tabs>
          <w:tab w:val="num" w:pos="8706"/>
        </w:tabs>
        <w:ind w:left="8706" w:hanging="360"/>
      </w:pPr>
    </w:lvl>
    <w:lvl w:ilvl="5" w:tplc="0405001B" w:tentative="1">
      <w:start w:val="1"/>
      <w:numFmt w:val="lowerRoman"/>
      <w:lvlText w:val="%6."/>
      <w:lvlJc w:val="right"/>
      <w:pPr>
        <w:tabs>
          <w:tab w:val="num" w:pos="9426"/>
        </w:tabs>
        <w:ind w:left="9426" w:hanging="180"/>
      </w:pPr>
    </w:lvl>
    <w:lvl w:ilvl="6" w:tplc="0405000F" w:tentative="1">
      <w:start w:val="1"/>
      <w:numFmt w:val="decimal"/>
      <w:lvlText w:val="%7."/>
      <w:lvlJc w:val="left"/>
      <w:pPr>
        <w:tabs>
          <w:tab w:val="num" w:pos="10146"/>
        </w:tabs>
        <w:ind w:left="10146" w:hanging="360"/>
      </w:pPr>
    </w:lvl>
    <w:lvl w:ilvl="7" w:tplc="04050019" w:tentative="1">
      <w:start w:val="1"/>
      <w:numFmt w:val="lowerLetter"/>
      <w:lvlText w:val="%8."/>
      <w:lvlJc w:val="left"/>
      <w:pPr>
        <w:tabs>
          <w:tab w:val="num" w:pos="10866"/>
        </w:tabs>
        <w:ind w:left="10866" w:hanging="360"/>
      </w:pPr>
    </w:lvl>
    <w:lvl w:ilvl="8" w:tplc="0405001B" w:tentative="1">
      <w:start w:val="1"/>
      <w:numFmt w:val="lowerRoman"/>
      <w:lvlText w:val="%9."/>
      <w:lvlJc w:val="right"/>
      <w:pPr>
        <w:tabs>
          <w:tab w:val="num" w:pos="11586"/>
        </w:tabs>
        <w:ind w:left="11586" w:hanging="180"/>
      </w:pPr>
    </w:lvl>
  </w:abstractNum>
  <w:abstractNum w:abstractNumId="8">
    <w:nsid w:val="16880CBF"/>
    <w:multiLevelType w:val="hybridMultilevel"/>
    <w:tmpl w:val="40C8A9AC"/>
    <w:lvl w:ilvl="0" w:tplc="6ABAEB0E">
      <w:start w:val="1"/>
      <w:numFmt w:val="lowerLetter"/>
      <w:lvlText w:val="%1) "/>
      <w:legacy w:legacy="1" w:legacySpace="0" w:legacyIndent="283"/>
      <w:lvlJc w:val="left"/>
      <w:pPr>
        <w:ind w:left="851" w:hanging="283"/>
      </w:pPr>
      <w:rPr>
        <w:rFonts w:ascii="Arial" w:hAnsi="Arial" w:cs="Arial" w:hint="default"/>
        <w:b w:val="0"/>
        <w:i w:val="0"/>
        <w:sz w:val="18"/>
        <w:szCs w:val="18"/>
        <w:u w:val="none"/>
      </w:rPr>
    </w:lvl>
    <w:lvl w:ilvl="1" w:tplc="D6844270">
      <w:start w:val="1"/>
      <w:numFmt w:val="lowerLetter"/>
      <w:lvlText w:val="%2)"/>
      <w:lvlJc w:val="left"/>
      <w:pPr>
        <w:tabs>
          <w:tab w:val="num" w:pos="1440"/>
        </w:tabs>
        <w:ind w:left="1440" w:hanging="360"/>
      </w:pPr>
      <w:rPr>
        <w:rFonts w:hint="default"/>
        <w:b w:val="0"/>
        <w:i w:val="0"/>
        <w:sz w:val="18"/>
        <w:szCs w:val="18"/>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840088F"/>
    <w:multiLevelType w:val="multilevel"/>
    <w:tmpl w:val="94EEFD76"/>
    <w:lvl w:ilvl="0">
      <w:start w:val="1"/>
      <w:numFmt w:val="decimal"/>
      <w:lvlText w:val="%1."/>
      <w:lvlJc w:val="left"/>
      <w:pPr>
        <w:tabs>
          <w:tab w:val="num" w:pos="851"/>
        </w:tabs>
        <w:ind w:left="851" w:hanging="426"/>
      </w:pPr>
      <w:rPr>
        <w:rFonts w:hint="default"/>
        <w:b w:val="0"/>
        <w:i w:val="0"/>
        <w:caps w:val="0"/>
      </w:rPr>
    </w:lvl>
    <w:lvl w:ilvl="1">
      <w:start w:val="1"/>
      <w:numFmt w:val="decimal"/>
      <w:lvlText w:val="%1.%2"/>
      <w:lvlJc w:val="left"/>
      <w:pPr>
        <w:tabs>
          <w:tab w:val="num" w:pos="425"/>
        </w:tabs>
        <w:ind w:left="425" w:hanging="425"/>
      </w:pPr>
      <w:rPr>
        <w:rFonts w:hint="default"/>
        <w:b w:val="0"/>
        <w:i w:val="0"/>
      </w:rPr>
    </w:lvl>
    <w:lvl w:ilvl="2">
      <w:start w:val="1"/>
      <w:numFmt w:val="decimal"/>
      <w:lvlText w:val="%1.%2.%3"/>
      <w:lvlJc w:val="left"/>
      <w:pPr>
        <w:tabs>
          <w:tab w:val="num" w:pos="992"/>
        </w:tabs>
        <w:ind w:left="992" w:hanging="567"/>
      </w:pPr>
      <w:rPr>
        <w:rFonts w:hint="default"/>
        <w:b w:val="0"/>
      </w:rPr>
    </w:lvl>
    <w:lvl w:ilvl="3">
      <w:start w:val="1"/>
      <w:numFmt w:val="decimal"/>
      <w:lvlText w:val="%1.%2.%3.%4"/>
      <w:lvlJc w:val="left"/>
      <w:pPr>
        <w:tabs>
          <w:tab w:val="num" w:pos="3122"/>
        </w:tabs>
        <w:ind w:left="3122"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894"/>
        </w:tabs>
        <w:ind w:left="4894" w:hanging="1080"/>
      </w:pPr>
      <w:rPr>
        <w:rFonts w:hint="default"/>
      </w:rPr>
    </w:lvl>
    <w:lvl w:ilvl="6">
      <w:start w:val="1"/>
      <w:numFmt w:val="decimal"/>
      <w:lvlText w:val="%1.%2.%3.%4.%5.%6.%7"/>
      <w:lvlJc w:val="left"/>
      <w:pPr>
        <w:tabs>
          <w:tab w:val="num" w:pos="5960"/>
        </w:tabs>
        <w:ind w:left="5960" w:hanging="1440"/>
      </w:pPr>
      <w:rPr>
        <w:rFonts w:hint="default"/>
      </w:rPr>
    </w:lvl>
    <w:lvl w:ilvl="7">
      <w:start w:val="1"/>
      <w:numFmt w:val="decimal"/>
      <w:lvlText w:val="%1.%2.%3.%4.%5.%6.%7.%8"/>
      <w:lvlJc w:val="left"/>
      <w:pPr>
        <w:tabs>
          <w:tab w:val="num" w:pos="6666"/>
        </w:tabs>
        <w:ind w:left="6666" w:hanging="1440"/>
      </w:pPr>
      <w:rPr>
        <w:rFonts w:hint="default"/>
      </w:rPr>
    </w:lvl>
    <w:lvl w:ilvl="8">
      <w:start w:val="1"/>
      <w:numFmt w:val="decimal"/>
      <w:lvlText w:val="%1.%2.%3.%4.%5.%6.%7.%8.%9"/>
      <w:lvlJc w:val="left"/>
      <w:pPr>
        <w:tabs>
          <w:tab w:val="num" w:pos="7732"/>
        </w:tabs>
        <w:ind w:left="7732" w:hanging="1800"/>
      </w:pPr>
      <w:rPr>
        <w:rFonts w:hint="default"/>
      </w:rPr>
    </w:lvl>
  </w:abstractNum>
  <w:abstractNum w:abstractNumId="10">
    <w:nsid w:val="18DA203C"/>
    <w:multiLevelType w:val="multilevel"/>
    <w:tmpl w:val="377CDCB6"/>
    <w:lvl w:ilvl="0">
      <w:start w:val="1"/>
      <w:numFmt w:val="decimal"/>
      <w:lvlText w:val="%1."/>
      <w:lvlJc w:val="left"/>
      <w:pPr>
        <w:tabs>
          <w:tab w:val="num" w:pos="432"/>
        </w:tabs>
        <w:ind w:left="432" w:hanging="432"/>
      </w:pPr>
      <w:rPr>
        <w:rFonts w:hint="default"/>
        <w:sz w:val="18"/>
        <w:szCs w:val="18"/>
      </w:rPr>
    </w:lvl>
    <w:lvl w:ilvl="1">
      <w:start w:val="1"/>
      <w:numFmt w:val="decimal"/>
      <w:lvlText w:val="%1.%2"/>
      <w:lvlJc w:val="left"/>
      <w:pPr>
        <w:tabs>
          <w:tab w:val="num" w:pos="425"/>
        </w:tabs>
        <w:ind w:left="425" w:hanging="425"/>
      </w:pPr>
      <w:rPr>
        <w:rFonts w:hint="default"/>
        <w:b w:val="0"/>
        <w:bCs/>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B391C7C"/>
    <w:multiLevelType w:val="hybridMultilevel"/>
    <w:tmpl w:val="DD26B9C6"/>
    <w:lvl w:ilvl="0" w:tplc="F764814C">
      <w:start w:val="1"/>
      <w:numFmt w:val="lowerLetter"/>
      <w:lvlText w:val="%1)"/>
      <w:lvlJc w:val="left"/>
      <w:pPr>
        <w:tabs>
          <w:tab w:val="num" w:pos="851"/>
        </w:tabs>
        <w:ind w:left="851" w:hanging="426"/>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D1A37DA"/>
    <w:multiLevelType w:val="multilevel"/>
    <w:tmpl w:val="C8D04878"/>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14A4958"/>
    <w:multiLevelType w:val="hybridMultilevel"/>
    <w:tmpl w:val="E7BC98F4"/>
    <w:lvl w:ilvl="0" w:tplc="A4EA5402">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DBF87028">
      <w:start w:val="1"/>
      <w:numFmt w:val="lowerLetter"/>
      <w:lvlText w:val="(%8)"/>
      <w:lvlJc w:val="left"/>
      <w:pPr>
        <w:tabs>
          <w:tab w:val="num" w:pos="5826"/>
        </w:tabs>
        <w:ind w:left="5826" w:hanging="360"/>
      </w:pPr>
      <w:rPr>
        <w:rFonts w:hint="default"/>
      </w:rPr>
    </w:lvl>
    <w:lvl w:ilvl="8" w:tplc="DBF87028">
      <w:start w:val="1"/>
      <w:numFmt w:val="lowerLetter"/>
      <w:lvlText w:val="(%9)"/>
      <w:lvlJc w:val="left"/>
      <w:pPr>
        <w:tabs>
          <w:tab w:val="num" w:pos="5826"/>
        </w:tabs>
        <w:ind w:left="5826" w:hanging="360"/>
      </w:pPr>
      <w:rPr>
        <w:rFonts w:hint="default"/>
      </w:rPr>
    </w:lvl>
  </w:abstractNum>
  <w:abstractNum w:abstractNumId="14">
    <w:nsid w:val="234A0942"/>
    <w:multiLevelType w:val="hybridMultilevel"/>
    <w:tmpl w:val="5734FEB0"/>
    <w:lvl w:ilvl="0" w:tplc="C268BA66">
      <w:start w:val="1"/>
      <w:numFmt w:val="lowerRoman"/>
      <w:lvlText w:val="(%1)"/>
      <w:lvlJc w:val="left"/>
      <w:pPr>
        <w:tabs>
          <w:tab w:val="num" w:pos="1571"/>
        </w:tabs>
        <w:ind w:left="1571" w:hanging="720"/>
      </w:pPr>
      <w:rPr>
        <w:rFonts w:hint="default"/>
      </w:rPr>
    </w:lvl>
    <w:lvl w:ilvl="1" w:tplc="8D4C16C4">
      <w:start w:val="1"/>
      <w:numFmt w:val="lowerLetter"/>
      <w:lvlText w:val="(%2)"/>
      <w:lvlJc w:val="left"/>
      <w:pPr>
        <w:tabs>
          <w:tab w:val="num" w:pos="1931"/>
        </w:tabs>
        <w:ind w:left="1931" w:hanging="360"/>
      </w:pPr>
      <w:rPr>
        <w:rFonts w:hint="default"/>
      </w:rPr>
    </w:lvl>
    <w:lvl w:ilvl="2" w:tplc="8A3CB05C">
      <w:start w:val="1"/>
      <w:numFmt w:val="lowerLetter"/>
      <w:lvlText w:val="(%3)"/>
      <w:lvlJc w:val="left"/>
      <w:pPr>
        <w:tabs>
          <w:tab w:val="num" w:pos="2831"/>
        </w:tabs>
        <w:ind w:left="2831" w:hanging="360"/>
      </w:pPr>
      <w:rPr>
        <w:rFonts w:hint="default"/>
      </w:r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start w:val="1"/>
      <w:numFmt w:val="lowerRoman"/>
      <w:lvlText w:val="%9."/>
      <w:lvlJc w:val="right"/>
      <w:pPr>
        <w:tabs>
          <w:tab w:val="num" w:pos="6971"/>
        </w:tabs>
        <w:ind w:left="6971" w:hanging="180"/>
      </w:pPr>
    </w:lvl>
  </w:abstractNum>
  <w:abstractNum w:abstractNumId="15">
    <w:nsid w:val="2B5A4526"/>
    <w:multiLevelType w:val="multilevel"/>
    <w:tmpl w:val="4D1EEA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22E4882"/>
    <w:multiLevelType w:val="hybridMultilevel"/>
    <w:tmpl w:val="D6563042"/>
    <w:lvl w:ilvl="0" w:tplc="EB5CD60E">
      <w:start w:val="1"/>
      <w:numFmt w:val="lowerRoman"/>
      <w:lvlText w:val="(%1)"/>
      <w:lvlJc w:val="left"/>
      <w:pPr>
        <w:tabs>
          <w:tab w:val="num" w:pos="1800"/>
        </w:tabs>
        <w:ind w:left="180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5000B7E"/>
    <w:multiLevelType w:val="multilevel"/>
    <w:tmpl w:val="CF70A4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2F3A8E"/>
    <w:multiLevelType w:val="hybridMultilevel"/>
    <w:tmpl w:val="DB7836A8"/>
    <w:lvl w:ilvl="0" w:tplc="473C2F3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19">
    <w:nsid w:val="3A9D58FD"/>
    <w:multiLevelType w:val="multilevel"/>
    <w:tmpl w:val="348EA04A"/>
    <w:lvl w:ilvl="0">
      <w:start w:val="8"/>
      <w:numFmt w:val="decimal"/>
      <w:lvlText w:val="%1"/>
      <w:lvlJc w:val="left"/>
      <w:pPr>
        <w:ind w:left="360" w:hanging="360"/>
      </w:pPr>
      <w:rPr>
        <w:rFonts w:hint="default"/>
      </w:rPr>
    </w:lvl>
    <w:lvl w:ilvl="1">
      <w:start w:val="2"/>
      <w:numFmt w:val="decimal"/>
      <w:lvlText w:val="%1.%2"/>
      <w:lvlJc w:val="left"/>
      <w:pPr>
        <w:ind w:left="647" w:hanging="360"/>
      </w:pPr>
      <w:rPr>
        <w:rFonts w:hint="default"/>
      </w:rPr>
    </w:lvl>
    <w:lvl w:ilvl="2">
      <w:start w:val="1"/>
      <w:numFmt w:val="decimal"/>
      <w:lvlText w:val="%1.%2.%3"/>
      <w:lvlJc w:val="left"/>
      <w:pPr>
        <w:ind w:left="934" w:hanging="360"/>
      </w:pPr>
      <w:rPr>
        <w:rFonts w:hint="default"/>
      </w:rPr>
    </w:lvl>
    <w:lvl w:ilvl="3">
      <w:start w:val="1"/>
      <w:numFmt w:val="decimal"/>
      <w:lvlText w:val="%1.%2.%3.%4"/>
      <w:lvlJc w:val="left"/>
      <w:pPr>
        <w:ind w:left="1581" w:hanging="720"/>
      </w:pPr>
      <w:rPr>
        <w:rFonts w:hint="default"/>
      </w:rPr>
    </w:lvl>
    <w:lvl w:ilvl="4">
      <w:start w:val="1"/>
      <w:numFmt w:val="decimal"/>
      <w:lvlText w:val="%1.%2.%3.%4.%5"/>
      <w:lvlJc w:val="left"/>
      <w:pPr>
        <w:ind w:left="1868" w:hanging="720"/>
      </w:pPr>
      <w:rPr>
        <w:rFonts w:hint="default"/>
      </w:rPr>
    </w:lvl>
    <w:lvl w:ilvl="5">
      <w:start w:val="1"/>
      <w:numFmt w:val="decimal"/>
      <w:lvlText w:val="%1.%2.%3.%4.%5.%6"/>
      <w:lvlJc w:val="left"/>
      <w:pPr>
        <w:ind w:left="2155" w:hanging="720"/>
      </w:pPr>
      <w:rPr>
        <w:rFonts w:hint="default"/>
      </w:rPr>
    </w:lvl>
    <w:lvl w:ilvl="6">
      <w:start w:val="1"/>
      <w:numFmt w:val="decimal"/>
      <w:lvlText w:val="%1.%2.%3.%4.%5.%6.%7"/>
      <w:lvlJc w:val="left"/>
      <w:pPr>
        <w:ind w:left="2802" w:hanging="1080"/>
      </w:pPr>
      <w:rPr>
        <w:rFonts w:hint="default"/>
      </w:rPr>
    </w:lvl>
    <w:lvl w:ilvl="7">
      <w:start w:val="1"/>
      <w:numFmt w:val="decimal"/>
      <w:lvlText w:val="%1.%2.%3.%4.%5.%6.%7.%8"/>
      <w:lvlJc w:val="left"/>
      <w:pPr>
        <w:ind w:left="3089" w:hanging="1080"/>
      </w:pPr>
      <w:rPr>
        <w:rFonts w:hint="default"/>
      </w:rPr>
    </w:lvl>
    <w:lvl w:ilvl="8">
      <w:start w:val="1"/>
      <w:numFmt w:val="decimal"/>
      <w:lvlText w:val="%1.%2.%3.%4.%5.%6.%7.%8.%9"/>
      <w:lvlJc w:val="left"/>
      <w:pPr>
        <w:ind w:left="3376" w:hanging="1080"/>
      </w:pPr>
      <w:rPr>
        <w:rFonts w:hint="default"/>
      </w:rPr>
    </w:lvl>
  </w:abstractNum>
  <w:abstractNum w:abstractNumId="20">
    <w:nsid w:val="3E4A636D"/>
    <w:multiLevelType w:val="hybridMultilevel"/>
    <w:tmpl w:val="7EB8CA00"/>
    <w:lvl w:ilvl="0" w:tplc="FABA5EC8">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1">
    <w:nsid w:val="46237EF3"/>
    <w:multiLevelType w:val="multilevel"/>
    <w:tmpl w:val="F984C998"/>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A9159E1"/>
    <w:multiLevelType w:val="hybridMultilevel"/>
    <w:tmpl w:val="6E46D6F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hint="default"/>
      </w:rPr>
    </w:lvl>
    <w:lvl w:ilvl="8" w:tplc="0405001B">
      <w:start w:val="1"/>
      <w:numFmt w:val="lowerLetter"/>
      <w:lvlText w:val="(%9)"/>
      <w:lvlJc w:val="left"/>
      <w:pPr>
        <w:tabs>
          <w:tab w:val="num" w:pos="5760"/>
        </w:tabs>
        <w:ind w:left="5760" w:hanging="360"/>
      </w:pPr>
      <w:rPr>
        <w:rFonts w:hint="default"/>
      </w:rPr>
    </w:lvl>
  </w:abstractNum>
  <w:abstractNum w:abstractNumId="23">
    <w:nsid w:val="4A9C7E20"/>
    <w:multiLevelType w:val="hybridMultilevel"/>
    <w:tmpl w:val="DF74FD26"/>
    <w:lvl w:ilvl="0" w:tplc="ECCCE398">
      <w:start w:val="1"/>
      <w:numFmt w:val="lowerLetter"/>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4">
    <w:nsid w:val="52793107"/>
    <w:multiLevelType w:val="multilevel"/>
    <w:tmpl w:val="51047F5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3511A6D"/>
    <w:multiLevelType w:val="multilevel"/>
    <w:tmpl w:val="17F8F0DA"/>
    <w:lvl w:ilvl="0">
      <w:start w:val="3"/>
      <w:numFmt w:val="decimal"/>
      <w:lvlText w:val="%1."/>
      <w:lvlJc w:val="left"/>
      <w:pPr>
        <w:tabs>
          <w:tab w:val="num" w:pos="360"/>
        </w:tabs>
        <w:ind w:left="360" w:hanging="360"/>
      </w:pPr>
      <w:rPr>
        <w:rFonts w:hint="default"/>
        <w:b/>
      </w:rPr>
    </w:lvl>
    <w:lvl w:ilvl="1">
      <w:start w:val="1"/>
      <w:numFmt w:val="decimal"/>
      <w:lvlText w:val="5.%2"/>
      <w:lvlJc w:val="left"/>
      <w:pPr>
        <w:tabs>
          <w:tab w:val="num" w:pos="425"/>
        </w:tabs>
        <w:ind w:left="425" w:hanging="425"/>
      </w:pPr>
      <w:rPr>
        <w:rFonts w:hint="default"/>
        <w:b w:val="0"/>
      </w:rPr>
    </w:lvl>
    <w:lvl w:ilvl="2">
      <w:start w:val="1"/>
      <w:numFmt w:val="decimal"/>
      <w:lvlText w:val="4.5.%3"/>
      <w:lvlJc w:val="left"/>
      <w:pPr>
        <w:tabs>
          <w:tab w:val="num" w:pos="992"/>
        </w:tabs>
        <w:ind w:left="992" w:hanging="567"/>
      </w:pPr>
      <w:rPr>
        <w:rFonts w:hint="default"/>
        <w:b w:val="0"/>
      </w:rPr>
    </w:lvl>
    <w:lvl w:ilvl="3">
      <w:start w:val="1"/>
      <w:numFmt w:val="decimal"/>
      <w:lvlText w:val="4.6.2.%4."/>
      <w:lvlJc w:val="left"/>
      <w:pPr>
        <w:tabs>
          <w:tab w:val="num" w:pos="1701"/>
        </w:tabs>
        <w:ind w:left="1701" w:hanging="709"/>
      </w:pPr>
      <w:rPr>
        <w:rFonts w:hint="default"/>
        <w:b w:val="0"/>
        <w:i w:val="0"/>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6">
    <w:nsid w:val="56956BEA"/>
    <w:multiLevelType w:val="hybridMultilevel"/>
    <w:tmpl w:val="3982992E"/>
    <w:lvl w:ilvl="0" w:tplc="1DAA8694">
      <w:start w:val="1"/>
      <w:numFmt w:val="lowerLetter"/>
      <w:lvlText w:val="(%1)"/>
      <w:lvlJc w:val="left"/>
      <w:pPr>
        <w:ind w:left="1363" w:hanging="360"/>
      </w:pPr>
      <w:rPr>
        <w:rFonts w:ascii="Arial" w:eastAsia="Times New Roman" w:hAnsi="Arial" w:cs="Arial"/>
      </w:rPr>
    </w:lvl>
    <w:lvl w:ilvl="1" w:tplc="04050003">
      <w:start w:val="1"/>
      <w:numFmt w:val="bullet"/>
      <w:lvlText w:val="o"/>
      <w:lvlJc w:val="left"/>
      <w:pPr>
        <w:ind w:left="2083" w:hanging="360"/>
      </w:pPr>
      <w:rPr>
        <w:rFonts w:ascii="Courier New" w:hAnsi="Courier New" w:cs="Courier New" w:hint="default"/>
      </w:rPr>
    </w:lvl>
    <w:lvl w:ilvl="2" w:tplc="04050005" w:tentative="1">
      <w:start w:val="1"/>
      <w:numFmt w:val="bullet"/>
      <w:lvlText w:val=""/>
      <w:lvlJc w:val="left"/>
      <w:pPr>
        <w:ind w:left="2803" w:hanging="360"/>
      </w:pPr>
      <w:rPr>
        <w:rFonts w:ascii="Wingdings" w:hAnsi="Wingdings" w:hint="default"/>
      </w:rPr>
    </w:lvl>
    <w:lvl w:ilvl="3" w:tplc="04050001" w:tentative="1">
      <w:start w:val="1"/>
      <w:numFmt w:val="bullet"/>
      <w:lvlText w:val=""/>
      <w:lvlJc w:val="left"/>
      <w:pPr>
        <w:ind w:left="3523" w:hanging="360"/>
      </w:pPr>
      <w:rPr>
        <w:rFonts w:ascii="Symbol" w:hAnsi="Symbol" w:hint="default"/>
      </w:rPr>
    </w:lvl>
    <w:lvl w:ilvl="4" w:tplc="04050003" w:tentative="1">
      <w:start w:val="1"/>
      <w:numFmt w:val="bullet"/>
      <w:lvlText w:val="o"/>
      <w:lvlJc w:val="left"/>
      <w:pPr>
        <w:ind w:left="4243" w:hanging="360"/>
      </w:pPr>
      <w:rPr>
        <w:rFonts w:ascii="Courier New" w:hAnsi="Courier New" w:cs="Courier New" w:hint="default"/>
      </w:rPr>
    </w:lvl>
    <w:lvl w:ilvl="5" w:tplc="04050005" w:tentative="1">
      <w:start w:val="1"/>
      <w:numFmt w:val="bullet"/>
      <w:lvlText w:val=""/>
      <w:lvlJc w:val="left"/>
      <w:pPr>
        <w:ind w:left="4963" w:hanging="360"/>
      </w:pPr>
      <w:rPr>
        <w:rFonts w:ascii="Wingdings" w:hAnsi="Wingdings" w:hint="default"/>
      </w:rPr>
    </w:lvl>
    <w:lvl w:ilvl="6" w:tplc="04050001" w:tentative="1">
      <w:start w:val="1"/>
      <w:numFmt w:val="bullet"/>
      <w:lvlText w:val=""/>
      <w:lvlJc w:val="left"/>
      <w:pPr>
        <w:ind w:left="5683" w:hanging="360"/>
      </w:pPr>
      <w:rPr>
        <w:rFonts w:ascii="Symbol" w:hAnsi="Symbol" w:hint="default"/>
      </w:rPr>
    </w:lvl>
    <w:lvl w:ilvl="7" w:tplc="04050003" w:tentative="1">
      <w:start w:val="1"/>
      <w:numFmt w:val="bullet"/>
      <w:lvlText w:val="o"/>
      <w:lvlJc w:val="left"/>
      <w:pPr>
        <w:ind w:left="6403" w:hanging="360"/>
      </w:pPr>
      <w:rPr>
        <w:rFonts w:ascii="Courier New" w:hAnsi="Courier New" w:cs="Courier New" w:hint="default"/>
      </w:rPr>
    </w:lvl>
    <w:lvl w:ilvl="8" w:tplc="04050005" w:tentative="1">
      <w:start w:val="1"/>
      <w:numFmt w:val="bullet"/>
      <w:lvlText w:val=""/>
      <w:lvlJc w:val="left"/>
      <w:pPr>
        <w:ind w:left="7123" w:hanging="360"/>
      </w:pPr>
      <w:rPr>
        <w:rFonts w:ascii="Wingdings" w:hAnsi="Wingdings" w:hint="default"/>
      </w:rPr>
    </w:lvl>
  </w:abstractNum>
  <w:abstractNum w:abstractNumId="27">
    <w:nsid w:val="570F13C0"/>
    <w:multiLevelType w:val="hybridMultilevel"/>
    <w:tmpl w:val="0C186318"/>
    <w:lvl w:ilvl="0" w:tplc="09A427A2">
      <w:start w:val="1"/>
      <w:numFmt w:val="decimal"/>
      <w:lvlText w:val="%1."/>
      <w:lvlJc w:val="left"/>
      <w:pPr>
        <w:tabs>
          <w:tab w:val="num" w:pos="360"/>
        </w:tabs>
        <w:ind w:left="360" w:hanging="360"/>
      </w:pPr>
      <w:rPr>
        <w:rFonts w:hint="default"/>
      </w:rPr>
    </w:lvl>
    <w:lvl w:ilvl="1" w:tplc="FC3C3268">
      <w:start w:val="1"/>
      <w:numFmt w:val="upperRoman"/>
      <w:pStyle w:val="NadpisI"/>
      <w:lvlText w:val="%2."/>
      <w:lvlJc w:val="left"/>
      <w:pPr>
        <w:tabs>
          <w:tab w:val="num" w:pos="1080"/>
        </w:tabs>
        <w:ind w:left="1080" w:firstLine="0"/>
      </w:pPr>
      <w:rPr>
        <w:rFonts w:hint="default"/>
        <w:sz w:val="18"/>
        <w:szCs w:val="18"/>
      </w:rPr>
    </w:lvl>
    <w:lvl w:ilvl="2" w:tplc="0405000F">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87A1B5B"/>
    <w:multiLevelType w:val="multilevel"/>
    <w:tmpl w:val="888CE396"/>
    <w:lvl w:ilvl="0">
      <w:start w:val="1"/>
      <w:numFmt w:val="decimal"/>
      <w:lvlText w:val="%1."/>
      <w:lvlJc w:val="left"/>
      <w:pPr>
        <w:tabs>
          <w:tab w:val="num" w:pos="502"/>
        </w:tabs>
        <w:ind w:left="502" w:hanging="360"/>
      </w:pPr>
      <w:rPr>
        <w:rFonts w:hint="default"/>
        <w:b w:val="0"/>
      </w:rPr>
    </w:lvl>
    <w:lvl w:ilvl="1">
      <w:start w:val="1"/>
      <w:numFmt w:val="decimal"/>
      <w:lvlText w:val="3.%2"/>
      <w:lvlJc w:val="left"/>
      <w:pPr>
        <w:tabs>
          <w:tab w:val="num" w:pos="425"/>
        </w:tabs>
        <w:ind w:left="425" w:hanging="425"/>
      </w:pPr>
      <w:rPr>
        <w:rFonts w:hint="default"/>
      </w:rPr>
    </w:lvl>
    <w:lvl w:ilvl="2">
      <w:start w:val="1"/>
      <w:numFmt w:val="decimal"/>
      <w:lvlText w:val="3.1.%3"/>
      <w:lvlJc w:val="left"/>
      <w:pPr>
        <w:tabs>
          <w:tab w:val="num" w:pos="992"/>
        </w:tabs>
        <w:ind w:left="992" w:hanging="567"/>
      </w:pPr>
      <w:rPr>
        <w:rFonts w:hint="default"/>
      </w:rPr>
    </w:lvl>
    <w:lvl w:ilvl="3">
      <w:start w:val="1"/>
      <w:numFmt w:val="decimal"/>
      <w:lvlText w:val="8.4.2.%4"/>
      <w:lvlJc w:val="left"/>
      <w:pPr>
        <w:tabs>
          <w:tab w:val="num" w:pos="1418"/>
        </w:tabs>
        <w:ind w:left="1418" w:hanging="567"/>
      </w:pPr>
      <w:rPr>
        <w:rFonts w:hint="default"/>
      </w:rPr>
    </w:lvl>
    <w:lvl w:ilvl="4">
      <w:start w:val="1"/>
      <w:numFmt w:val="decimal"/>
      <w:lvlText w:val="%1.%2.%3.%4.%5"/>
      <w:lvlJc w:val="left"/>
      <w:pPr>
        <w:tabs>
          <w:tab w:val="num" w:pos="1288"/>
        </w:tabs>
        <w:ind w:left="1288" w:hanging="72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1932"/>
        </w:tabs>
        <w:ind w:left="1932" w:hanging="108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29">
    <w:nsid w:val="590D176E"/>
    <w:multiLevelType w:val="multilevel"/>
    <w:tmpl w:val="D4961254"/>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A177EDD"/>
    <w:multiLevelType w:val="hybridMultilevel"/>
    <w:tmpl w:val="8A020948"/>
    <w:lvl w:ilvl="0" w:tplc="26FCE9C6">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BBF7CB4"/>
    <w:multiLevelType w:val="multilevel"/>
    <w:tmpl w:val="EA428290"/>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BC42C16"/>
    <w:multiLevelType w:val="hybridMultilevel"/>
    <w:tmpl w:val="171843EC"/>
    <w:lvl w:ilvl="0" w:tplc="FFFFFFFF">
      <w:start w:val="1"/>
      <w:numFmt w:val="lowerLetter"/>
      <w:lvlText w:val="(%1)"/>
      <w:lvlJc w:val="left"/>
      <w:pPr>
        <w:tabs>
          <w:tab w:val="num" w:pos="5760"/>
        </w:tabs>
        <w:ind w:left="5760" w:hanging="360"/>
      </w:pPr>
      <w:rPr>
        <w:rFonts w:hint="default"/>
      </w:rPr>
    </w:lvl>
    <w:lvl w:ilvl="1" w:tplc="FFFFFFFF">
      <w:start w:val="1"/>
      <w:numFmt w:val="lowerLetter"/>
      <w:lvlText w:val="%2."/>
      <w:lvlJc w:val="left"/>
      <w:pPr>
        <w:tabs>
          <w:tab w:val="num" w:pos="6480"/>
        </w:tabs>
        <w:ind w:left="6480" w:hanging="360"/>
      </w:pPr>
    </w:lvl>
    <w:lvl w:ilvl="2" w:tplc="FFFFFFFF" w:tentative="1">
      <w:start w:val="1"/>
      <w:numFmt w:val="lowerRoman"/>
      <w:lvlText w:val="%3."/>
      <w:lvlJc w:val="right"/>
      <w:pPr>
        <w:tabs>
          <w:tab w:val="num" w:pos="7200"/>
        </w:tabs>
        <w:ind w:left="7200" w:hanging="180"/>
      </w:pPr>
    </w:lvl>
    <w:lvl w:ilvl="3" w:tplc="FFFFFFFF" w:tentative="1">
      <w:start w:val="1"/>
      <w:numFmt w:val="decimal"/>
      <w:lvlText w:val="%4."/>
      <w:lvlJc w:val="left"/>
      <w:pPr>
        <w:tabs>
          <w:tab w:val="num" w:pos="7920"/>
        </w:tabs>
        <w:ind w:left="7920" w:hanging="360"/>
      </w:pPr>
    </w:lvl>
    <w:lvl w:ilvl="4" w:tplc="FFFFFFFF" w:tentative="1">
      <w:start w:val="1"/>
      <w:numFmt w:val="lowerLetter"/>
      <w:lvlText w:val="%5."/>
      <w:lvlJc w:val="left"/>
      <w:pPr>
        <w:tabs>
          <w:tab w:val="num" w:pos="8640"/>
        </w:tabs>
        <w:ind w:left="8640" w:hanging="360"/>
      </w:pPr>
    </w:lvl>
    <w:lvl w:ilvl="5" w:tplc="FFFFFFFF" w:tentative="1">
      <w:start w:val="1"/>
      <w:numFmt w:val="lowerRoman"/>
      <w:lvlText w:val="%6."/>
      <w:lvlJc w:val="right"/>
      <w:pPr>
        <w:tabs>
          <w:tab w:val="num" w:pos="9360"/>
        </w:tabs>
        <w:ind w:left="9360" w:hanging="180"/>
      </w:pPr>
    </w:lvl>
    <w:lvl w:ilvl="6" w:tplc="FFFFFFFF" w:tentative="1">
      <w:start w:val="1"/>
      <w:numFmt w:val="decimal"/>
      <w:lvlText w:val="%7."/>
      <w:lvlJc w:val="left"/>
      <w:pPr>
        <w:tabs>
          <w:tab w:val="num" w:pos="10080"/>
        </w:tabs>
        <w:ind w:left="10080" w:hanging="360"/>
      </w:pPr>
    </w:lvl>
    <w:lvl w:ilvl="7" w:tplc="FFFFFFFF" w:tentative="1">
      <w:start w:val="1"/>
      <w:numFmt w:val="lowerLetter"/>
      <w:lvlText w:val="%8."/>
      <w:lvlJc w:val="left"/>
      <w:pPr>
        <w:tabs>
          <w:tab w:val="num" w:pos="10800"/>
        </w:tabs>
        <w:ind w:left="10800" w:hanging="360"/>
      </w:pPr>
    </w:lvl>
    <w:lvl w:ilvl="8" w:tplc="FFFFFFFF" w:tentative="1">
      <w:start w:val="1"/>
      <w:numFmt w:val="lowerRoman"/>
      <w:lvlText w:val="%9."/>
      <w:lvlJc w:val="right"/>
      <w:pPr>
        <w:tabs>
          <w:tab w:val="num" w:pos="11520"/>
        </w:tabs>
        <w:ind w:left="11520" w:hanging="180"/>
      </w:pPr>
    </w:lvl>
  </w:abstractNum>
  <w:abstractNum w:abstractNumId="33">
    <w:nsid w:val="65163BA4"/>
    <w:multiLevelType w:val="multilevel"/>
    <w:tmpl w:val="A6A0F5F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67D056CB"/>
    <w:multiLevelType w:val="hybridMultilevel"/>
    <w:tmpl w:val="FA60CEE0"/>
    <w:lvl w:ilvl="0" w:tplc="DDC0AAA0">
      <w:start w:val="1"/>
      <w:numFmt w:val="lowerLetter"/>
      <w:lvlText w:val="%1)"/>
      <w:lvlJc w:val="left"/>
      <w:pPr>
        <w:tabs>
          <w:tab w:val="num" w:pos="1985"/>
        </w:tabs>
        <w:ind w:left="1985" w:hanging="426"/>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A8411AC"/>
    <w:multiLevelType w:val="hybridMultilevel"/>
    <w:tmpl w:val="AA749564"/>
    <w:lvl w:ilvl="0" w:tplc="91E484B2">
      <w:start w:val="1"/>
      <w:numFmt w:val="lowerLetter"/>
      <w:lvlText w:val="%1)"/>
      <w:lvlJc w:val="left"/>
      <w:pPr>
        <w:tabs>
          <w:tab w:val="num" w:pos="1418"/>
        </w:tabs>
        <w:ind w:left="1418" w:hanging="426"/>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AD12816"/>
    <w:multiLevelType w:val="hybridMultilevel"/>
    <w:tmpl w:val="2C2E2E32"/>
    <w:lvl w:ilvl="0" w:tplc="8A3CB05C">
      <w:start w:val="1"/>
      <w:numFmt w:val="lowerLetter"/>
      <w:lvlText w:val="(%1)"/>
      <w:lvlJc w:val="left"/>
      <w:pPr>
        <w:tabs>
          <w:tab w:val="num" w:pos="2831"/>
        </w:tabs>
        <w:ind w:left="2831" w:hanging="360"/>
      </w:pPr>
      <w:rPr>
        <w:rFonts w:hint="default"/>
      </w:rPr>
    </w:lvl>
    <w:lvl w:ilvl="1" w:tplc="04050019" w:tentative="1">
      <w:start w:val="1"/>
      <w:numFmt w:val="lowerLetter"/>
      <w:lvlText w:val="%2."/>
      <w:lvlJc w:val="left"/>
      <w:pPr>
        <w:tabs>
          <w:tab w:val="num" w:pos="2828"/>
        </w:tabs>
        <w:ind w:left="2828" w:hanging="360"/>
      </w:pPr>
    </w:lvl>
    <w:lvl w:ilvl="2" w:tplc="0405001B" w:tentative="1">
      <w:start w:val="1"/>
      <w:numFmt w:val="lowerRoman"/>
      <w:lvlText w:val="%3."/>
      <w:lvlJc w:val="right"/>
      <w:pPr>
        <w:tabs>
          <w:tab w:val="num" w:pos="3548"/>
        </w:tabs>
        <w:ind w:left="3548" w:hanging="180"/>
      </w:pPr>
    </w:lvl>
    <w:lvl w:ilvl="3" w:tplc="0405000F" w:tentative="1">
      <w:start w:val="1"/>
      <w:numFmt w:val="decimal"/>
      <w:lvlText w:val="%4."/>
      <w:lvlJc w:val="left"/>
      <w:pPr>
        <w:tabs>
          <w:tab w:val="num" w:pos="4268"/>
        </w:tabs>
        <w:ind w:left="4268" w:hanging="360"/>
      </w:pPr>
    </w:lvl>
    <w:lvl w:ilvl="4" w:tplc="04050019" w:tentative="1">
      <w:start w:val="1"/>
      <w:numFmt w:val="lowerLetter"/>
      <w:lvlText w:val="%5."/>
      <w:lvlJc w:val="left"/>
      <w:pPr>
        <w:tabs>
          <w:tab w:val="num" w:pos="4988"/>
        </w:tabs>
        <w:ind w:left="4988" w:hanging="360"/>
      </w:pPr>
    </w:lvl>
    <w:lvl w:ilvl="5" w:tplc="0405001B" w:tentative="1">
      <w:start w:val="1"/>
      <w:numFmt w:val="lowerRoman"/>
      <w:lvlText w:val="%6."/>
      <w:lvlJc w:val="right"/>
      <w:pPr>
        <w:tabs>
          <w:tab w:val="num" w:pos="5708"/>
        </w:tabs>
        <w:ind w:left="5708" w:hanging="180"/>
      </w:pPr>
    </w:lvl>
    <w:lvl w:ilvl="6" w:tplc="0405000F" w:tentative="1">
      <w:start w:val="1"/>
      <w:numFmt w:val="decimal"/>
      <w:lvlText w:val="%7."/>
      <w:lvlJc w:val="left"/>
      <w:pPr>
        <w:tabs>
          <w:tab w:val="num" w:pos="6428"/>
        </w:tabs>
        <w:ind w:left="6428" w:hanging="360"/>
      </w:pPr>
    </w:lvl>
    <w:lvl w:ilvl="7" w:tplc="04050019" w:tentative="1">
      <w:start w:val="1"/>
      <w:numFmt w:val="lowerLetter"/>
      <w:lvlText w:val="%8."/>
      <w:lvlJc w:val="left"/>
      <w:pPr>
        <w:tabs>
          <w:tab w:val="num" w:pos="7148"/>
        </w:tabs>
        <w:ind w:left="7148" w:hanging="360"/>
      </w:pPr>
    </w:lvl>
    <w:lvl w:ilvl="8" w:tplc="0405001B" w:tentative="1">
      <w:start w:val="1"/>
      <w:numFmt w:val="lowerRoman"/>
      <w:lvlText w:val="%9."/>
      <w:lvlJc w:val="right"/>
      <w:pPr>
        <w:tabs>
          <w:tab w:val="num" w:pos="7868"/>
        </w:tabs>
        <w:ind w:left="7868" w:hanging="180"/>
      </w:pPr>
    </w:lvl>
  </w:abstractNum>
  <w:abstractNum w:abstractNumId="37">
    <w:nsid w:val="6F345DFC"/>
    <w:multiLevelType w:val="multilevel"/>
    <w:tmpl w:val="1A4E8D0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992"/>
        </w:tabs>
        <w:ind w:left="992" w:hanging="567"/>
      </w:pPr>
      <w:rPr>
        <w:rFonts w:hint="default"/>
      </w:rPr>
    </w:lvl>
    <w:lvl w:ilvl="3">
      <w:start w:val="1"/>
      <w:numFmt w:val="decimal"/>
      <w:lvlText w:val="%1.%2.%3.%4"/>
      <w:lvlJc w:val="left"/>
      <w:pPr>
        <w:tabs>
          <w:tab w:val="num" w:pos="1559"/>
        </w:tabs>
        <w:ind w:left="1559" w:hanging="567"/>
      </w:pPr>
      <w:rPr>
        <w:rFonts w:hint="default"/>
        <w:b w:val="0"/>
        <w:bCs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722F4316"/>
    <w:multiLevelType w:val="multilevel"/>
    <w:tmpl w:val="70ACF130"/>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728A63A0"/>
    <w:multiLevelType w:val="hybridMultilevel"/>
    <w:tmpl w:val="7A00F92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nsid w:val="730008B3"/>
    <w:multiLevelType w:val="multilevel"/>
    <w:tmpl w:val="2B1C55DC"/>
    <w:lvl w:ilvl="0">
      <w:start w:val="1"/>
      <w:numFmt w:val="decimal"/>
      <w:lvlText w:val="%1."/>
      <w:lvlJc w:val="left"/>
      <w:pPr>
        <w:tabs>
          <w:tab w:val="num" w:pos="502"/>
        </w:tabs>
        <w:ind w:left="502" w:hanging="360"/>
      </w:pPr>
      <w:rPr>
        <w:rFonts w:hint="default"/>
        <w:b w:val="0"/>
      </w:rPr>
    </w:lvl>
    <w:lvl w:ilvl="1">
      <w:start w:val="1"/>
      <w:numFmt w:val="decimal"/>
      <w:lvlText w:val="4.%2"/>
      <w:lvlJc w:val="left"/>
      <w:pPr>
        <w:tabs>
          <w:tab w:val="num" w:pos="425"/>
        </w:tabs>
        <w:ind w:left="425" w:hanging="425"/>
      </w:pPr>
      <w:rPr>
        <w:rFonts w:hint="default"/>
      </w:rPr>
    </w:lvl>
    <w:lvl w:ilvl="2">
      <w:start w:val="1"/>
      <w:numFmt w:val="decimal"/>
      <w:lvlText w:val="2.1.%3"/>
      <w:lvlJc w:val="left"/>
      <w:pPr>
        <w:tabs>
          <w:tab w:val="num" w:pos="992"/>
        </w:tabs>
        <w:ind w:left="992" w:hanging="567"/>
      </w:pPr>
      <w:rPr>
        <w:rFonts w:hint="default"/>
      </w:rPr>
    </w:lvl>
    <w:lvl w:ilvl="3">
      <w:start w:val="1"/>
      <w:numFmt w:val="decimal"/>
      <w:lvlText w:val="8.4.2.%4"/>
      <w:lvlJc w:val="left"/>
      <w:pPr>
        <w:tabs>
          <w:tab w:val="num" w:pos="1418"/>
        </w:tabs>
        <w:ind w:left="1418" w:hanging="567"/>
      </w:pPr>
      <w:rPr>
        <w:rFonts w:hint="default"/>
      </w:rPr>
    </w:lvl>
    <w:lvl w:ilvl="4">
      <w:start w:val="1"/>
      <w:numFmt w:val="decimal"/>
      <w:lvlText w:val="%1.%2.%3.%4.%5"/>
      <w:lvlJc w:val="left"/>
      <w:pPr>
        <w:tabs>
          <w:tab w:val="num" w:pos="1288"/>
        </w:tabs>
        <w:ind w:left="1288" w:hanging="72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1932"/>
        </w:tabs>
        <w:ind w:left="1932" w:hanging="108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41">
    <w:nsid w:val="73107D5E"/>
    <w:multiLevelType w:val="multilevel"/>
    <w:tmpl w:val="A2C02946"/>
    <w:lvl w:ilvl="0">
      <w:start w:val="1"/>
      <w:numFmt w:val="ordinal"/>
      <w:lvlText w:val="%1"/>
      <w:lvlJc w:val="left"/>
      <w:pPr>
        <w:tabs>
          <w:tab w:val="num" w:pos="1004"/>
        </w:tabs>
        <w:ind w:left="1004" w:hanging="720"/>
      </w:pPr>
      <w:rPr>
        <w:rFonts w:hint="default"/>
        <w:b/>
        <w:i w:val="0"/>
        <w:caps w:val="0"/>
      </w:rPr>
    </w:lvl>
    <w:lvl w:ilvl="1">
      <w:start w:val="1"/>
      <w:numFmt w:val="decimal"/>
      <w:lvlText w:val="%1%2"/>
      <w:lvlJc w:val="left"/>
      <w:pPr>
        <w:tabs>
          <w:tab w:val="num" w:pos="1714"/>
        </w:tabs>
        <w:ind w:left="1714" w:hanging="720"/>
      </w:pPr>
      <w:rPr>
        <w:rFonts w:hint="default"/>
        <w:b w:val="0"/>
        <w:i w:val="0"/>
      </w:rPr>
    </w:lvl>
    <w:lvl w:ilvl="2">
      <w:start w:val="1"/>
      <w:numFmt w:val="decimal"/>
      <w:lvlText w:val="%1%2.%3"/>
      <w:lvlJc w:val="left"/>
      <w:pPr>
        <w:tabs>
          <w:tab w:val="num" w:pos="2416"/>
        </w:tabs>
        <w:ind w:left="2416" w:hanging="720"/>
      </w:pPr>
      <w:rPr>
        <w:rFonts w:hint="default"/>
        <w:b w:val="0"/>
      </w:rPr>
    </w:lvl>
    <w:lvl w:ilvl="3">
      <w:start w:val="1"/>
      <w:numFmt w:val="decimal"/>
      <w:lvlText w:val="%1.%2.%3.%4"/>
      <w:lvlJc w:val="left"/>
      <w:pPr>
        <w:tabs>
          <w:tab w:val="num" w:pos="3122"/>
        </w:tabs>
        <w:ind w:left="3122"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894"/>
        </w:tabs>
        <w:ind w:left="4894" w:hanging="1080"/>
      </w:pPr>
      <w:rPr>
        <w:rFonts w:hint="default"/>
      </w:rPr>
    </w:lvl>
    <w:lvl w:ilvl="6">
      <w:start w:val="1"/>
      <w:numFmt w:val="decimal"/>
      <w:lvlText w:val="%1.%2.%3.%4.%5.%6.%7"/>
      <w:lvlJc w:val="left"/>
      <w:pPr>
        <w:tabs>
          <w:tab w:val="num" w:pos="5960"/>
        </w:tabs>
        <w:ind w:left="5960" w:hanging="1440"/>
      </w:pPr>
      <w:rPr>
        <w:rFonts w:hint="default"/>
      </w:rPr>
    </w:lvl>
    <w:lvl w:ilvl="7">
      <w:start w:val="1"/>
      <w:numFmt w:val="decimal"/>
      <w:lvlText w:val="%1.%2.%3.%4.%5.%6.%7.%8"/>
      <w:lvlJc w:val="left"/>
      <w:pPr>
        <w:tabs>
          <w:tab w:val="num" w:pos="6666"/>
        </w:tabs>
        <w:ind w:left="6666" w:hanging="1440"/>
      </w:pPr>
      <w:rPr>
        <w:rFonts w:hint="default"/>
      </w:rPr>
    </w:lvl>
    <w:lvl w:ilvl="8">
      <w:start w:val="1"/>
      <w:numFmt w:val="decimal"/>
      <w:lvlText w:val="%1.%2.%3.%4.%5.%6.%7.%8.%9"/>
      <w:lvlJc w:val="left"/>
      <w:pPr>
        <w:tabs>
          <w:tab w:val="num" w:pos="7732"/>
        </w:tabs>
        <w:ind w:left="7732" w:hanging="1800"/>
      </w:pPr>
      <w:rPr>
        <w:rFonts w:hint="default"/>
      </w:rPr>
    </w:lvl>
  </w:abstractNum>
  <w:abstractNum w:abstractNumId="42">
    <w:nsid w:val="75162811"/>
    <w:multiLevelType w:val="hybridMultilevel"/>
    <w:tmpl w:val="49709E10"/>
    <w:lvl w:ilvl="0" w:tplc="FFFFFFFF">
      <w:start w:val="1"/>
      <w:numFmt w:val="lowerLetter"/>
      <w:lvlText w:val="(%1)"/>
      <w:lvlJc w:val="left"/>
      <w:pPr>
        <w:tabs>
          <w:tab w:val="num" w:pos="1566"/>
        </w:tabs>
        <w:ind w:left="1566" w:hanging="114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43">
    <w:nsid w:val="76D65143"/>
    <w:multiLevelType w:val="multilevel"/>
    <w:tmpl w:val="F984C9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6D77195"/>
    <w:multiLevelType w:val="multilevel"/>
    <w:tmpl w:val="B074007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25"/>
        </w:tabs>
        <w:ind w:left="411" w:hanging="411"/>
      </w:pPr>
      <w:rPr>
        <w:rFonts w:hint="default"/>
      </w:rPr>
    </w:lvl>
    <w:lvl w:ilvl="2">
      <w:start w:val="1"/>
      <w:numFmt w:val="decimal"/>
      <w:lvlText w:val="%1.%2.%3"/>
      <w:lvlJc w:val="left"/>
      <w:pPr>
        <w:tabs>
          <w:tab w:val="num" w:pos="992"/>
        </w:tabs>
        <w:ind w:left="992"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7D742E9"/>
    <w:multiLevelType w:val="hybridMultilevel"/>
    <w:tmpl w:val="281E8414"/>
    <w:lvl w:ilvl="0" w:tplc="32B23468">
      <w:start w:val="1"/>
      <w:numFmt w:val="decimal"/>
      <w:pStyle w:val="1Normlnodsazen"/>
      <w:lvlText w:val="%1."/>
      <w:lvlJc w:val="left"/>
      <w:pPr>
        <w:tabs>
          <w:tab w:val="num" w:pos="360"/>
        </w:tabs>
        <w:ind w:left="360" w:hanging="360"/>
      </w:pPr>
      <w:rPr>
        <w:rFonts w:hint="default"/>
      </w:rPr>
    </w:lvl>
    <w:lvl w:ilvl="1" w:tplc="04050017">
      <w:start w:val="1"/>
      <w:numFmt w:val="lowerLetter"/>
      <w:lvlText w:val="%2)"/>
      <w:lvlJc w:val="left"/>
      <w:pPr>
        <w:tabs>
          <w:tab w:val="num" w:pos="1440"/>
        </w:tabs>
        <w:ind w:left="1440" w:hanging="360"/>
      </w:pPr>
      <w:rPr>
        <w:rFonts w:hint="default"/>
      </w:rPr>
    </w:lvl>
    <w:lvl w:ilvl="2" w:tplc="98BE173A">
      <w:start w:val="1"/>
      <w:numFmt w:val="decimal"/>
      <w:lvlText w:val="%3."/>
      <w:lvlJc w:val="right"/>
      <w:pPr>
        <w:tabs>
          <w:tab w:val="num" w:pos="2160"/>
        </w:tabs>
        <w:ind w:left="2160" w:hanging="180"/>
      </w:pPr>
      <w:rPr>
        <w:rFonts w:ascii="Arial" w:eastAsia="Times New Roman" w:hAnsi="Arial" w:cs="Arial"/>
      </w:rPr>
    </w:lvl>
    <w:lvl w:ilvl="3" w:tplc="17A4636C">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nsid w:val="7C730A70"/>
    <w:multiLevelType w:val="multilevel"/>
    <w:tmpl w:val="42A082CE"/>
    <w:lvl w:ilvl="0">
      <w:start w:val="7"/>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500" w:hanging="36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000" w:hanging="720"/>
      </w:pPr>
      <w:rPr>
        <w:rFonts w:hint="default"/>
      </w:rPr>
    </w:lvl>
    <w:lvl w:ilvl="5">
      <w:start w:val="1"/>
      <w:numFmt w:val="decimal"/>
      <w:lvlText w:val="%1.%2.%3.%4.%5.%6"/>
      <w:lvlJc w:val="left"/>
      <w:pPr>
        <w:ind w:left="3570" w:hanging="72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070" w:hanging="1080"/>
      </w:pPr>
      <w:rPr>
        <w:rFonts w:hint="default"/>
      </w:rPr>
    </w:lvl>
    <w:lvl w:ilvl="8">
      <w:start w:val="1"/>
      <w:numFmt w:val="decimal"/>
      <w:lvlText w:val="%1.%2.%3.%4.%5.%6.%7.%8.%9"/>
      <w:lvlJc w:val="left"/>
      <w:pPr>
        <w:ind w:left="5640" w:hanging="1080"/>
      </w:pPr>
      <w:rPr>
        <w:rFonts w:hint="default"/>
      </w:rPr>
    </w:lvl>
  </w:abstractNum>
  <w:abstractNum w:abstractNumId="47">
    <w:nsid w:val="7C786982"/>
    <w:multiLevelType w:val="multilevel"/>
    <w:tmpl w:val="C610D744"/>
    <w:lvl w:ilvl="0">
      <w:start w:val="1"/>
      <w:numFmt w:val="decimal"/>
      <w:lvlText w:val="%1"/>
      <w:lvlJc w:val="left"/>
      <w:pPr>
        <w:tabs>
          <w:tab w:val="num" w:pos="360"/>
        </w:tabs>
        <w:ind w:left="360" w:hanging="360"/>
      </w:pPr>
      <w:rPr>
        <w:rFonts w:hint="default"/>
      </w:rPr>
    </w:lvl>
    <w:lvl w:ilvl="1">
      <w:start w:val="1"/>
      <w:numFmt w:val="bullet"/>
      <w:lvlText w:val=""/>
      <w:legacy w:legacy="1" w:legacySpace="120" w:legacyIndent="360"/>
      <w:lvlJc w:val="left"/>
      <w:pPr>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7CD43001"/>
    <w:multiLevelType w:val="hybridMultilevel"/>
    <w:tmpl w:val="DE14679E"/>
    <w:lvl w:ilvl="0" w:tplc="FFFFFFFF">
      <w:start w:val="1"/>
      <w:numFmt w:val="lowerLetter"/>
      <w:lvlText w:val="(%1)"/>
      <w:lvlJc w:val="left"/>
      <w:pPr>
        <w:tabs>
          <w:tab w:val="num" w:pos="786"/>
        </w:tabs>
        <w:ind w:left="786" w:hanging="360"/>
      </w:pPr>
      <w:rPr>
        <w:rFonts w:hint="default"/>
      </w:rPr>
    </w:lvl>
    <w:lvl w:ilvl="1" w:tplc="FFFFFFFF">
      <w:start w:val="1"/>
      <w:numFmt w:val="lowerLetter"/>
      <w:lvlText w:val="%2."/>
      <w:lvlJc w:val="left"/>
      <w:pPr>
        <w:tabs>
          <w:tab w:val="num" w:pos="1506"/>
        </w:tabs>
        <w:ind w:left="1506" w:hanging="360"/>
      </w:pPr>
    </w:lvl>
    <w:lvl w:ilvl="2" w:tplc="FFFFFFFF">
      <w:start w:val="1"/>
      <w:numFmt w:val="lowerRoman"/>
      <w:lvlText w:val="%3."/>
      <w:lvlJc w:val="right"/>
      <w:pPr>
        <w:tabs>
          <w:tab w:val="num" w:pos="2226"/>
        </w:tabs>
        <w:ind w:left="2226" w:hanging="180"/>
      </w:pPr>
    </w:lvl>
    <w:lvl w:ilvl="3" w:tplc="FFFFFFFF">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start w:val="1"/>
      <w:numFmt w:val="lowerRoman"/>
      <w:lvlText w:val="%9."/>
      <w:lvlJc w:val="right"/>
      <w:pPr>
        <w:tabs>
          <w:tab w:val="num" w:pos="6546"/>
        </w:tabs>
        <w:ind w:left="6546" w:hanging="180"/>
      </w:pPr>
    </w:lvl>
  </w:abstractNum>
  <w:abstractNum w:abstractNumId="49">
    <w:nsid w:val="7DB267B0"/>
    <w:multiLevelType w:val="multilevel"/>
    <w:tmpl w:val="DDBAB8C8"/>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502"/>
        </w:tabs>
        <w:ind w:left="502" w:hanging="360"/>
      </w:pPr>
      <w:rPr>
        <w:rFonts w:hint="default"/>
        <w:b w:val="0"/>
        <w:bCs/>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7F7E5F16"/>
    <w:multiLevelType w:val="multilevel"/>
    <w:tmpl w:val="8E84E472"/>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nsid w:val="7F995F17"/>
    <w:multiLevelType w:val="multilevel"/>
    <w:tmpl w:val="DD606D2C"/>
    <w:lvl w:ilvl="0">
      <w:start w:val="1"/>
      <w:numFmt w:val="decimal"/>
      <w:lvlText w:val="%1."/>
      <w:lvlJc w:val="left"/>
      <w:pPr>
        <w:tabs>
          <w:tab w:val="num" w:pos="425"/>
        </w:tabs>
        <w:ind w:left="425" w:hanging="425"/>
      </w:pPr>
      <w:rPr>
        <w:rFonts w:ascii="Arial" w:hAnsi="Arial" w:hint="default"/>
        <w:b/>
        <w:i w:val="0"/>
        <w:color w:val="auto"/>
        <w:sz w:val="18"/>
        <w:szCs w:val="18"/>
      </w:rPr>
    </w:lvl>
    <w:lvl w:ilvl="1">
      <w:start w:val="1"/>
      <w:numFmt w:val="decimal"/>
      <w:lvlText w:val="2.%2"/>
      <w:lvlJc w:val="left"/>
      <w:pPr>
        <w:tabs>
          <w:tab w:val="num" w:pos="425"/>
        </w:tabs>
        <w:ind w:left="425" w:hanging="425"/>
      </w:pPr>
      <w:rPr>
        <w:rFonts w:ascii="Arial" w:hAnsi="Arial" w:hint="default"/>
        <w:b w:val="0"/>
        <w:i w:val="0"/>
        <w:color w:val="auto"/>
        <w:sz w:val="14"/>
        <w:szCs w:val="14"/>
      </w:rPr>
    </w:lvl>
    <w:lvl w:ilvl="2">
      <w:start w:val="1"/>
      <w:numFmt w:val="decimal"/>
      <w:lvlText w:val="4.1.%3"/>
      <w:lvlJc w:val="left"/>
      <w:pPr>
        <w:tabs>
          <w:tab w:val="num" w:pos="992"/>
        </w:tabs>
        <w:ind w:left="992" w:hanging="567"/>
      </w:pPr>
      <w:rPr>
        <w:rFonts w:ascii="Arial" w:hAnsi="Arial" w:hint="default"/>
        <w:b w:val="0"/>
        <w:i w:val="0"/>
        <w:sz w:val="18"/>
        <w:szCs w:val="18"/>
      </w:rPr>
    </w:lvl>
    <w:lvl w:ilvl="3">
      <w:start w:val="1"/>
      <w:numFmt w:val="decimal"/>
      <w:lvlText w:val="%1.%2.%3.%4."/>
      <w:lvlJc w:val="left"/>
      <w:pPr>
        <w:tabs>
          <w:tab w:val="num" w:pos="708"/>
        </w:tabs>
        <w:ind w:left="708" w:hanging="708"/>
      </w:pPr>
      <w:rPr>
        <w:rFonts w:hint="default"/>
      </w:rPr>
    </w:lvl>
    <w:lvl w:ilvl="4">
      <w:start w:val="1"/>
      <w:numFmt w:val="decimal"/>
      <w:lvlText w:val="%1.%2.%3.%4.%5."/>
      <w:lvlJc w:val="left"/>
      <w:pPr>
        <w:tabs>
          <w:tab w:val="num" w:pos="708"/>
        </w:tabs>
        <w:ind w:left="708" w:hanging="708"/>
      </w:pPr>
      <w:rPr>
        <w:rFonts w:hint="default"/>
      </w:rPr>
    </w:lvl>
    <w:lvl w:ilvl="5">
      <w:start w:val="1"/>
      <w:numFmt w:val="decimal"/>
      <w:lvlText w:val="%1.%2.%3.%4.%5.%6."/>
      <w:lvlJc w:val="left"/>
      <w:pPr>
        <w:tabs>
          <w:tab w:val="num" w:pos="708"/>
        </w:tabs>
        <w:ind w:left="708" w:hanging="708"/>
      </w:pPr>
      <w:rPr>
        <w:rFonts w:hint="default"/>
      </w:rPr>
    </w:lvl>
    <w:lvl w:ilvl="6">
      <w:start w:val="1"/>
      <w:numFmt w:val="decimal"/>
      <w:lvlText w:val="%1.%2.%3.%4.%5.%6.%7."/>
      <w:lvlJc w:val="left"/>
      <w:pPr>
        <w:tabs>
          <w:tab w:val="num" w:pos="708"/>
        </w:tabs>
        <w:ind w:left="708" w:hanging="708"/>
      </w:pPr>
      <w:rPr>
        <w:rFonts w:hint="default"/>
      </w:rPr>
    </w:lvl>
    <w:lvl w:ilvl="7">
      <w:start w:val="1"/>
      <w:numFmt w:val="decimal"/>
      <w:lvlText w:val="%1.%2.%3.%4.%5.%6.%7.%8."/>
      <w:lvlJc w:val="left"/>
      <w:pPr>
        <w:tabs>
          <w:tab w:val="num" w:pos="708"/>
        </w:tabs>
        <w:ind w:left="708" w:hanging="708"/>
      </w:pPr>
      <w:rPr>
        <w:rFonts w:hint="default"/>
      </w:rPr>
    </w:lvl>
    <w:lvl w:ilvl="8">
      <w:start w:val="1"/>
      <w:numFmt w:val="decimal"/>
      <w:lvlText w:val="%1.%2.%3.%4.%5.%6.%7.%8.%9."/>
      <w:lvlJc w:val="left"/>
      <w:pPr>
        <w:tabs>
          <w:tab w:val="num" w:pos="708"/>
        </w:tabs>
        <w:ind w:left="708" w:hanging="708"/>
      </w:pPr>
      <w:rPr>
        <w:rFonts w:hint="default"/>
      </w:rPr>
    </w:lvl>
  </w:abstractNum>
  <w:num w:numId="1">
    <w:abstractNumId w:val="27"/>
  </w:num>
  <w:num w:numId="2">
    <w:abstractNumId w:val="41"/>
  </w:num>
  <w:num w:numId="3">
    <w:abstractNumId w:val="15"/>
  </w:num>
  <w:num w:numId="4">
    <w:abstractNumId w:val="45"/>
  </w:num>
  <w:num w:numId="5">
    <w:abstractNumId w:val="8"/>
  </w:num>
  <w:num w:numId="6">
    <w:abstractNumId w:val="38"/>
  </w:num>
  <w:num w:numId="7">
    <w:abstractNumId w:val="29"/>
  </w:num>
  <w:num w:numId="8">
    <w:abstractNumId w:val="31"/>
  </w:num>
  <w:num w:numId="9">
    <w:abstractNumId w:val="33"/>
  </w:num>
  <w:num w:numId="10">
    <w:abstractNumId w:val="50"/>
  </w:num>
  <w:num w:numId="11">
    <w:abstractNumId w:val="4"/>
  </w:num>
  <w:num w:numId="12">
    <w:abstractNumId w:val="40"/>
  </w:num>
  <w:num w:numId="13">
    <w:abstractNumId w:val="51"/>
  </w:num>
  <w:num w:numId="14">
    <w:abstractNumId w:val="37"/>
  </w:num>
  <w:num w:numId="15">
    <w:abstractNumId w:val="34"/>
  </w:num>
  <w:num w:numId="16">
    <w:abstractNumId w:val="2"/>
  </w:num>
  <w:num w:numId="17">
    <w:abstractNumId w:val="25"/>
  </w:num>
  <w:num w:numId="18">
    <w:abstractNumId w:val="16"/>
  </w:num>
  <w:num w:numId="19">
    <w:abstractNumId w:val="9"/>
  </w:num>
  <w:num w:numId="20">
    <w:abstractNumId w:val="49"/>
  </w:num>
  <w:num w:numId="21">
    <w:abstractNumId w:val="3"/>
  </w:num>
  <w:num w:numId="22">
    <w:abstractNumId w:val="28"/>
  </w:num>
  <w:num w:numId="23">
    <w:abstractNumId w:val="10"/>
  </w:num>
  <w:num w:numId="24">
    <w:abstractNumId w:val="44"/>
  </w:num>
  <w:num w:numId="25">
    <w:abstractNumId w:val="35"/>
  </w:num>
  <w:num w:numId="26">
    <w:abstractNumId w:val="22"/>
  </w:num>
  <w:num w:numId="27">
    <w:abstractNumId w:val="17"/>
  </w:num>
  <w:num w:numId="28">
    <w:abstractNumId w:val="21"/>
  </w:num>
  <w:num w:numId="29">
    <w:abstractNumId w:val="43"/>
  </w:num>
  <w:num w:numId="30">
    <w:abstractNumId w:val="14"/>
  </w:num>
  <w:num w:numId="31">
    <w:abstractNumId w:val="42"/>
  </w:num>
  <w:num w:numId="32">
    <w:abstractNumId w:val="24"/>
  </w:num>
  <w:num w:numId="33">
    <w:abstractNumId w:val="1"/>
  </w:num>
  <w:num w:numId="34">
    <w:abstractNumId w:val="12"/>
  </w:num>
  <w:num w:numId="35">
    <w:abstractNumId w:val="32"/>
  </w:num>
  <w:num w:numId="36">
    <w:abstractNumId w:val="48"/>
  </w:num>
  <w:num w:numId="37">
    <w:abstractNumId w:val="20"/>
  </w:num>
  <w:num w:numId="38">
    <w:abstractNumId w:val="6"/>
  </w:num>
  <w:num w:numId="39">
    <w:abstractNumId w:val="18"/>
  </w:num>
  <w:num w:numId="40">
    <w:abstractNumId w:val="23"/>
  </w:num>
  <w:num w:numId="41">
    <w:abstractNumId w:val="13"/>
  </w:num>
  <w:num w:numId="42">
    <w:abstractNumId w:val="7"/>
  </w:num>
  <w:num w:numId="43">
    <w:abstractNumId w:val="0"/>
  </w:num>
  <w:num w:numId="44">
    <w:abstractNumId w:val="36"/>
  </w:num>
  <w:num w:numId="45">
    <w:abstractNumId w:val="47"/>
  </w:num>
  <w:num w:numId="46">
    <w:abstractNumId w:val="30"/>
  </w:num>
  <w:num w:numId="47">
    <w:abstractNumId w:val="11"/>
  </w:num>
  <w:num w:numId="48">
    <w:abstractNumId w:val="39"/>
  </w:num>
  <w:num w:numId="49">
    <w:abstractNumId w:val="26"/>
  </w:num>
  <w:num w:numId="50">
    <w:abstractNumId w:val="3"/>
  </w:num>
  <w:num w:numId="51">
    <w:abstractNumId w:val="5"/>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num>
  <w:num w:numId="80">
    <w:abstractNumId w:val="19"/>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intFractionalCharacterWidth/>
  <w:activeWritingStyle w:appName="MSWord" w:lang="cs-CZ" w:vendorID="7" w:dllVersion="514" w:checkStyle="1"/>
  <w:proofState w:spelling="clean"/>
  <w:stylePaneFormatFilter w:val="3F01"/>
  <w:trackRevisions/>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30170"/>
    <w:rsid w:val="00001FC9"/>
    <w:rsid w:val="000130A5"/>
    <w:rsid w:val="000158A2"/>
    <w:rsid w:val="00021222"/>
    <w:rsid w:val="00024C3C"/>
    <w:rsid w:val="00041780"/>
    <w:rsid w:val="00041CF1"/>
    <w:rsid w:val="00051CED"/>
    <w:rsid w:val="00052DC1"/>
    <w:rsid w:val="0005341E"/>
    <w:rsid w:val="0005673C"/>
    <w:rsid w:val="000631AF"/>
    <w:rsid w:val="00077059"/>
    <w:rsid w:val="0007752A"/>
    <w:rsid w:val="00086E7C"/>
    <w:rsid w:val="00090DC3"/>
    <w:rsid w:val="00091340"/>
    <w:rsid w:val="00093300"/>
    <w:rsid w:val="000B1F45"/>
    <w:rsid w:val="000C0DE2"/>
    <w:rsid w:val="000C178A"/>
    <w:rsid w:val="000C2A69"/>
    <w:rsid w:val="000C30C6"/>
    <w:rsid w:val="000C5B38"/>
    <w:rsid w:val="000D262E"/>
    <w:rsid w:val="000E0292"/>
    <w:rsid w:val="000E130B"/>
    <w:rsid w:val="000F1095"/>
    <w:rsid w:val="00103D90"/>
    <w:rsid w:val="0011080C"/>
    <w:rsid w:val="00110C09"/>
    <w:rsid w:val="00112EC7"/>
    <w:rsid w:val="001217CC"/>
    <w:rsid w:val="00123026"/>
    <w:rsid w:val="00123BDB"/>
    <w:rsid w:val="00124072"/>
    <w:rsid w:val="00132074"/>
    <w:rsid w:val="00135785"/>
    <w:rsid w:val="00141302"/>
    <w:rsid w:val="00144169"/>
    <w:rsid w:val="001517DA"/>
    <w:rsid w:val="00151902"/>
    <w:rsid w:val="00151A3A"/>
    <w:rsid w:val="00166745"/>
    <w:rsid w:val="00172995"/>
    <w:rsid w:val="00182848"/>
    <w:rsid w:val="00184B25"/>
    <w:rsid w:val="001855CF"/>
    <w:rsid w:val="00186B7A"/>
    <w:rsid w:val="00187E0C"/>
    <w:rsid w:val="0019135A"/>
    <w:rsid w:val="0019351F"/>
    <w:rsid w:val="0019572D"/>
    <w:rsid w:val="001A3B3F"/>
    <w:rsid w:val="001C01EF"/>
    <w:rsid w:val="001C0B61"/>
    <w:rsid w:val="001C12DF"/>
    <w:rsid w:val="001C23B5"/>
    <w:rsid w:val="001C6F56"/>
    <w:rsid w:val="001C7193"/>
    <w:rsid w:val="001D160A"/>
    <w:rsid w:val="001D27C7"/>
    <w:rsid w:val="001D2F82"/>
    <w:rsid w:val="001E465C"/>
    <w:rsid w:val="001F0892"/>
    <w:rsid w:val="001F1CB8"/>
    <w:rsid w:val="001F2438"/>
    <w:rsid w:val="001F2B79"/>
    <w:rsid w:val="002002B0"/>
    <w:rsid w:val="0020108F"/>
    <w:rsid w:val="00202E48"/>
    <w:rsid w:val="00203786"/>
    <w:rsid w:val="002068D7"/>
    <w:rsid w:val="00207F02"/>
    <w:rsid w:val="00212360"/>
    <w:rsid w:val="002144A1"/>
    <w:rsid w:val="0021745B"/>
    <w:rsid w:val="0022010A"/>
    <w:rsid w:val="00224D2D"/>
    <w:rsid w:val="00227FE2"/>
    <w:rsid w:val="00230A07"/>
    <w:rsid w:val="00233A89"/>
    <w:rsid w:val="00240E2C"/>
    <w:rsid w:val="002410A3"/>
    <w:rsid w:val="00244D76"/>
    <w:rsid w:val="00247794"/>
    <w:rsid w:val="002552A2"/>
    <w:rsid w:val="00256701"/>
    <w:rsid w:val="00256EB9"/>
    <w:rsid w:val="00260175"/>
    <w:rsid w:val="0026230E"/>
    <w:rsid w:val="00262E6B"/>
    <w:rsid w:val="00272CCC"/>
    <w:rsid w:val="00273C5B"/>
    <w:rsid w:val="00281309"/>
    <w:rsid w:val="00294F03"/>
    <w:rsid w:val="00295754"/>
    <w:rsid w:val="00296388"/>
    <w:rsid w:val="00296AD7"/>
    <w:rsid w:val="00297F36"/>
    <w:rsid w:val="002A20D8"/>
    <w:rsid w:val="002A6E0F"/>
    <w:rsid w:val="002B0C86"/>
    <w:rsid w:val="002B2218"/>
    <w:rsid w:val="002B411D"/>
    <w:rsid w:val="002B4148"/>
    <w:rsid w:val="002B7F35"/>
    <w:rsid w:val="002C09E3"/>
    <w:rsid w:val="002C5031"/>
    <w:rsid w:val="002D0A9C"/>
    <w:rsid w:val="002D66F2"/>
    <w:rsid w:val="002E0014"/>
    <w:rsid w:val="002E15B6"/>
    <w:rsid w:val="002E1D92"/>
    <w:rsid w:val="002F57AB"/>
    <w:rsid w:val="002F6197"/>
    <w:rsid w:val="00300A40"/>
    <w:rsid w:val="00305152"/>
    <w:rsid w:val="003133DA"/>
    <w:rsid w:val="00314DCC"/>
    <w:rsid w:val="003165CE"/>
    <w:rsid w:val="003266CC"/>
    <w:rsid w:val="00327E49"/>
    <w:rsid w:val="00330354"/>
    <w:rsid w:val="00332148"/>
    <w:rsid w:val="0033659A"/>
    <w:rsid w:val="00345D5E"/>
    <w:rsid w:val="00350FCE"/>
    <w:rsid w:val="003548EF"/>
    <w:rsid w:val="00372782"/>
    <w:rsid w:val="003767FA"/>
    <w:rsid w:val="00376C19"/>
    <w:rsid w:val="003801B2"/>
    <w:rsid w:val="0038406B"/>
    <w:rsid w:val="0038488E"/>
    <w:rsid w:val="00384FF0"/>
    <w:rsid w:val="003861E3"/>
    <w:rsid w:val="003901F7"/>
    <w:rsid w:val="00391EBC"/>
    <w:rsid w:val="0039200F"/>
    <w:rsid w:val="003921B9"/>
    <w:rsid w:val="003936E1"/>
    <w:rsid w:val="0039664E"/>
    <w:rsid w:val="003A4CF8"/>
    <w:rsid w:val="003A7155"/>
    <w:rsid w:val="003B1AB9"/>
    <w:rsid w:val="003B5CBF"/>
    <w:rsid w:val="003C019E"/>
    <w:rsid w:val="003C7B38"/>
    <w:rsid w:val="003D1E5F"/>
    <w:rsid w:val="003D6E5F"/>
    <w:rsid w:val="003E04A9"/>
    <w:rsid w:val="003E7315"/>
    <w:rsid w:val="003F395A"/>
    <w:rsid w:val="003F5186"/>
    <w:rsid w:val="00412876"/>
    <w:rsid w:val="00412DF0"/>
    <w:rsid w:val="0041454D"/>
    <w:rsid w:val="00421C75"/>
    <w:rsid w:val="00424B1B"/>
    <w:rsid w:val="004278BB"/>
    <w:rsid w:val="00431934"/>
    <w:rsid w:val="0043555B"/>
    <w:rsid w:val="00437226"/>
    <w:rsid w:val="00442C8E"/>
    <w:rsid w:val="00442EBA"/>
    <w:rsid w:val="004453DD"/>
    <w:rsid w:val="00450EDF"/>
    <w:rsid w:val="00452689"/>
    <w:rsid w:val="004635A6"/>
    <w:rsid w:val="00465A53"/>
    <w:rsid w:val="00466A87"/>
    <w:rsid w:val="00475FF9"/>
    <w:rsid w:val="00496E9A"/>
    <w:rsid w:val="0049710C"/>
    <w:rsid w:val="004A15E2"/>
    <w:rsid w:val="004B07CA"/>
    <w:rsid w:val="004B541E"/>
    <w:rsid w:val="004B7B93"/>
    <w:rsid w:val="004C73C0"/>
    <w:rsid w:val="004D541D"/>
    <w:rsid w:val="00501E2F"/>
    <w:rsid w:val="00502534"/>
    <w:rsid w:val="0051742E"/>
    <w:rsid w:val="00517735"/>
    <w:rsid w:val="00517C52"/>
    <w:rsid w:val="0052760C"/>
    <w:rsid w:val="00530170"/>
    <w:rsid w:val="0053035B"/>
    <w:rsid w:val="005351E1"/>
    <w:rsid w:val="005361A0"/>
    <w:rsid w:val="00537A7C"/>
    <w:rsid w:val="00540716"/>
    <w:rsid w:val="00541C4E"/>
    <w:rsid w:val="00543447"/>
    <w:rsid w:val="00544404"/>
    <w:rsid w:val="005476B8"/>
    <w:rsid w:val="00547ADF"/>
    <w:rsid w:val="005504E7"/>
    <w:rsid w:val="00552414"/>
    <w:rsid w:val="00552AB2"/>
    <w:rsid w:val="00553F00"/>
    <w:rsid w:val="00560FCF"/>
    <w:rsid w:val="00561760"/>
    <w:rsid w:val="00563AA4"/>
    <w:rsid w:val="00567379"/>
    <w:rsid w:val="00571CEC"/>
    <w:rsid w:val="00573729"/>
    <w:rsid w:val="00576171"/>
    <w:rsid w:val="00580D2E"/>
    <w:rsid w:val="00582156"/>
    <w:rsid w:val="0058267E"/>
    <w:rsid w:val="005A5152"/>
    <w:rsid w:val="005B1343"/>
    <w:rsid w:val="005B3458"/>
    <w:rsid w:val="005C465F"/>
    <w:rsid w:val="005C7414"/>
    <w:rsid w:val="005C790A"/>
    <w:rsid w:val="005D0083"/>
    <w:rsid w:val="005D1368"/>
    <w:rsid w:val="005D397C"/>
    <w:rsid w:val="005E40B1"/>
    <w:rsid w:val="005E40B6"/>
    <w:rsid w:val="005F22D3"/>
    <w:rsid w:val="00605A95"/>
    <w:rsid w:val="00605D46"/>
    <w:rsid w:val="00617814"/>
    <w:rsid w:val="00624F5A"/>
    <w:rsid w:val="0063052B"/>
    <w:rsid w:val="0063205C"/>
    <w:rsid w:val="006323BB"/>
    <w:rsid w:val="006415DC"/>
    <w:rsid w:val="00642146"/>
    <w:rsid w:val="0065090A"/>
    <w:rsid w:val="006535A7"/>
    <w:rsid w:val="00655F33"/>
    <w:rsid w:val="006618A3"/>
    <w:rsid w:val="00661A8D"/>
    <w:rsid w:val="0068432C"/>
    <w:rsid w:val="006932BF"/>
    <w:rsid w:val="00693507"/>
    <w:rsid w:val="00693F40"/>
    <w:rsid w:val="006A0345"/>
    <w:rsid w:val="006A5E78"/>
    <w:rsid w:val="006A7EB3"/>
    <w:rsid w:val="006B0F75"/>
    <w:rsid w:val="006B10AC"/>
    <w:rsid w:val="006B3368"/>
    <w:rsid w:val="006C7FF7"/>
    <w:rsid w:val="006D1C5F"/>
    <w:rsid w:val="006D1E3A"/>
    <w:rsid w:val="006D3DD1"/>
    <w:rsid w:val="006D4D74"/>
    <w:rsid w:val="006D7A3F"/>
    <w:rsid w:val="006E0917"/>
    <w:rsid w:val="006E4D82"/>
    <w:rsid w:val="006E535A"/>
    <w:rsid w:val="006E5394"/>
    <w:rsid w:val="006F23C2"/>
    <w:rsid w:val="006F7BEB"/>
    <w:rsid w:val="00700D28"/>
    <w:rsid w:val="00705FF9"/>
    <w:rsid w:val="00710EF8"/>
    <w:rsid w:val="0071409C"/>
    <w:rsid w:val="00717CCF"/>
    <w:rsid w:val="00722CD7"/>
    <w:rsid w:val="007235BB"/>
    <w:rsid w:val="00723B73"/>
    <w:rsid w:val="00730182"/>
    <w:rsid w:val="00735D4F"/>
    <w:rsid w:val="00737120"/>
    <w:rsid w:val="00737284"/>
    <w:rsid w:val="00744580"/>
    <w:rsid w:val="00750E50"/>
    <w:rsid w:val="00751C0A"/>
    <w:rsid w:val="00753D33"/>
    <w:rsid w:val="007546E3"/>
    <w:rsid w:val="007550A0"/>
    <w:rsid w:val="007565CE"/>
    <w:rsid w:val="00762C58"/>
    <w:rsid w:val="00763C94"/>
    <w:rsid w:val="00765CCA"/>
    <w:rsid w:val="00770AE9"/>
    <w:rsid w:val="00773881"/>
    <w:rsid w:val="007755BE"/>
    <w:rsid w:val="00781EF9"/>
    <w:rsid w:val="00781FF3"/>
    <w:rsid w:val="00782128"/>
    <w:rsid w:val="00783D3E"/>
    <w:rsid w:val="00784A00"/>
    <w:rsid w:val="00790BEE"/>
    <w:rsid w:val="007A2749"/>
    <w:rsid w:val="007B01DE"/>
    <w:rsid w:val="007C1988"/>
    <w:rsid w:val="007C2075"/>
    <w:rsid w:val="007C3D8A"/>
    <w:rsid w:val="007C73C7"/>
    <w:rsid w:val="007D448F"/>
    <w:rsid w:val="007D7AB5"/>
    <w:rsid w:val="007E185D"/>
    <w:rsid w:val="007F01F0"/>
    <w:rsid w:val="007F0C12"/>
    <w:rsid w:val="007F1B14"/>
    <w:rsid w:val="007F2B4E"/>
    <w:rsid w:val="007F2CB3"/>
    <w:rsid w:val="007F634C"/>
    <w:rsid w:val="008000EB"/>
    <w:rsid w:val="0080260A"/>
    <w:rsid w:val="00812B77"/>
    <w:rsid w:val="008157A4"/>
    <w:rsid w:val="008165E1"/>
    <w:rsid w:val="008265C2"/>
    <w:rsid w:val="00831C30"/>
    <w:rsid w:val="008360F2"/>
    <w:rsid w:val="00837AC1"/>
    <w:rsid w:val="008443AB"/>
    <w:rsid w:val="00853EA9"/>
    <w:rsid w:val="00860666"/>
    <w:rsid w:val="00864F32"/>
    <w:rsid w:val="0087317A"/>
    <w:rsid w:val="00873BE6"/>
    <w:rsid w:val="00876BF1"/>
    <w:rsid w:val="00877DBE"/>
    <w:rsid w:val="00880B75"/>
    <w:rsid w:val="00887FDD"/>
    <w:rsid w:val="00891BBD"/>
    <w:rsid w:val="00892EA8"/>
    <w:rsid w:val="00894BFB"/>
    <w:rsid w:val="008A1735"/>
    <w:rsid w:val="008A1EE3"/>
    <w:rsid w:val="008A3D27"/>
    <w:rsid w:val="008A6CD8"/>
    <w:rsid w:val="008A6D74"/>
    <w:rsid w:val="008B08CE"/>
    <w:rsid w:val="008B1848"/>
    <w:rsid w:val="008B6E31"/>
    <w:rsid w:val="008C66DF"/>
    <w:rsid w:val="008F0653"/>
    <w:rsid w:val="008F3363"/>
    <w:rsid w:val="008F4EAC"/>
    <w:rsid w:val="00900E88"/>
    <w:rsid w:val="00903EA5"/>
    <w:rsid w:val="00917449"/>
    <w:rsid w:val="009211EE"/>
    <w:rsid w:val="00935AA6"/>
    <w:rsid w:val="009520D1"/>
    <w:rsid w:val="009521AD"/>
    <w:rsid w:val="00954C05"/>
    <w:rsid w:val="00955663"/>
    <w:rsid w:val="0095654B"/>
    <w:rsid w:val="00994072"/>
    <w:rsid w:val="009A1D7B"/>
    <w:rsid w:val="009A2639"/>
    <w:rsid w:val="009A795F"/>
    <w:rsid w:val="009C3D2B"/>
    <w:rsid w:val="009C57A4"/>
    <w:rsid w:val="009C61D0"/>
    <w:rsid w:val="009D2C16"/>
    <w:rsid w:val="009E1CB3"/>
    <w:rsid w:val="009F15F0"/>
    <w:rsid w:val="009F4FD2"/>
    <w:rsid w:val="009F7B50"/>
    <w:rsid w:val="00A0733B"/>
    <w:rsid w:val="00A173F9"/>
    <w:rsid w:val="00A25F39"/>
    <w:rsid w:val="00A311FB"/>
    <w:rsid w:val="00A31535"/>
    <w:rsid w:val="00A325B9"/>
    <w:rsid w:val="00A40248"/>
    <w:rsid w:val="00A4677E"/>
    <w:rsid w:val="00A5049C"/>
    <w:rsid w:val="00A50B4E"/>
    <w:rsid w:val="00A52688"/>
    <w:rsid w:val="00A530CA"/>
    <w:rsid w:val="00A547CD"/>
    <w:rsid w:val="00A62D25"/>
    <w:rsid w:val="00A7084D"/>
    <w:rsid w:val="00A74D5D"/>
    <w:rsid w:val="00AA0105"/>
    <w:rsid w:val="00AB3B1B"/>
    <w:rsid w:val="00AC0DF0"/>
    <w:rsid w:val="00AC1425"/>
    <w:rsid w:val="00AC1CF9"/>
    <w:rsid w:val="00AC48D8"/>
    <w:rsid w:val="00AD01F0"/>
    <w:rsid w:val="00AD2164"/>
    <w:rsid w:val="00AD33C3"/>
    <w:rsid w:val="00AD61B0"/>
    <w:rsid w:val="00AE194A"/>
    <w:rsid w:val="00AE35CD"/>
    <w:rsid w:val="00AE4305"/>
    <w:rsid w:val="00AF227C"/>
    <w:rsid w:val="00AF5EE5"/>
    <w:rsid w:val="00B05153"/>
    <w:rsid w:val="00B20416"/>
    <w:rsid w:val="00B2106B"/>
    <w:rsid w:val="00B246FC"/>
    <w:rsid w:val="00B30DC2"/>
    <w:rsid w:val="00B325F0"/>
    <w:rsid w:val="00B3338E"/>
    <w:rsid w:val="00B33511"/>
    <w:rsid w:val="00B34DE4"/>
    <w:rsid w:val="00B3513A"/>
    <w:rsid w:val="00B415B2"/>
    <w:rsid w:val="00B416EF"/>
    <w:rsid w:val="00B4293F"/>
    <w:rsid w:val="00B44D56"/>
    <w:rsid w:val="00B45B9D"/>
    <w:rsid w:val="00B45DBA"/>
    <w:rsid w:val="00B56256"/>
    <w:rsid w:val="00B5695F"/>
    <w:rsid w:val="00B659FF"/>
    <w:rsid w:val="00B66100"/>
    <w:rsid w:val="00B704FD"/>
    <w:rsid w:val="00B70A48"/>
    <w:rsid w:val="00B754A7"/>
    <w:rsid w:val="00B82253"/>
    <w:rsid w:val="00B82E76"/>
    <w:rsid w:val="00B93058"/>
    <w:rsid w:val="00B9383B"/>
    <w:rsid w:val="00B96358"/>
    <w:rsid w:val="00BA04FC"/>
    <w:rsid w:val="00BA54F2"/>
    <w:rsid w:val="00BB1A57"/>
    <w:rsid w:val="00BB2A01"/>
    <w:rsid w:val="00BB382E"/>
    <w:rsid w:val="00BB6E0D"/>
    <w:rsid w:val="00BB7CA0"/>
    <w:rsid w:val="00BC0323"/>
    <w:rsid w:val="00BC0759"/>
    <w:rsid w:val="00BC76C5"/>
    <w:rsid w:val="00BD3F8D"/>
    <w:rsid w:val="00BD64E0"/>
    <w:rsid w:val="00BD7447"/>
    <w:rsid w:val="00BD79A9"/>
    <w:rsid w:val="00C01A39"/>
    <w:rsid w:val="00C04192"/>
    <w:rsid w:val="00C0442C"/>
    <w:rsid w:val="00C06831"/>
    <w:rsid w:val="00C15C0C"/>
    <w:rsid w:val="00C23298"/>
    <w:rsid w:val="00C26E22"/>
    <w:rsid w:val="00C32955"/>
    <w:rsid w:val="00C34812"/>
    <w:rsid w:val="00C4083E"/>
    <w:rsid w:val="00C41269"/>
    <w:rsid w:val="00C42F41"/>
    <w:rsid w:val="00C44506"/>
    <w:rsid w:val="00C46B78"/>
    <w:rsid w:val="00C511FA"/>
    <w:rsid w:val="00C51726"/>
    <w:rsid w:val="00C54EA7"/>
    <w:rsid w:val="00C70DB9"/>
    <w:rsid w:val="00C80320"/>
    <w:rsid w:val="00C80B27"/>
    <w:rsid w:val="00CA1DAA"/>
    <w:rsid w:val="00CC0186"/>
    <w:rsid w:val="00CC1995"/>
    <w:rsid w:val="00CC1EAF"/>
    <w:rsid w:val="00CC59B9"/>
    <w:rsid w:val="00CC734F"/>
    <w:rsid w:val="00CD31A8"/>
    <w:rsid w:val="00CE3938"/>
    <w:rsid w:val="00CE4368"/>
    <w:rsid w:val="00CE4FC6"/>
    <w:rsid w:val="00CE633E"/>
    <w:rsid w:val="00CF33D1"/>
    <w:rsid w:val="00CF40AD"/>
    <w:rsid w:val="00CF58A3"/>
    <w:rsid w:val="00D040A2"/>
    <w:rsid w:val="00D060A8"/>
    <w:rsid w:val="00D06AE5"/>
    <w:rsid w:val="00D0788C"/>
    <w:rsid w:val="00D22F1F"/>
    <w:rsid w:val="00D2505B"/>
    <w:rsid w:val="00D277BB"/>
    <w:rsid w:val="00D36243"/>
    <w:rsid w:val="00D41560"/>
    <w:rsid w:val="00D4605A"/>
    <w:rsid w:val="00D54E13"/>
    <w:rsid w:val="00D55564"/>
    <w:rsid w:val="00D56827"/>
    <w:rsid w:val="00D60867"/>
    <w:rsid w:val="00D61FB4"/>
    <w:rsid w:val="00D63266"/>
    <w:rsid w:val="00D70959"/>
    <w:rsid w:val="00D71F33"/>
    <w:rsid w:val="00D7203A"/>
    <w:rsid w:val="00D72221"/>
    <w:rsid w:val="00D938EB"/>
    <w:rsid w:val="00D93E50"/>
    <w:rsid w:val="00D97592"/>
    <w:rsid w:val="00D97715"/>
    <w:rsid w:val="00DA2516"/>
    <w:rsid w:val="00DA60A4"/>
    <w:rsid w:val="00DA6349"/>
    <w:rsid w:val="00DB47F0"/>
    <w:rsid w:val="00DC1AE9"/>
    <w:rsid w:val="00DC4A5F"/>
    <w:rsid w:val="00DC5D0D"/>
    <w:rsid w:val="00DD02C0"/>
    <w:rsid w:val="00DD1F4F"/>
    <w:rsid w:val="00DD3E55"/>
    <w:rsid w:val="00DD441B"/>
    <w:rsid w:val="00DD726F"/>
    <w:rsid w:val="00DE05BC"/>
    <w:rsid w:val="00DE2FB1"/>
    <w:rsid w:val="00DE6F2E"/>
    <w:rsid w:val="00DF41E1"/>
    <w:rsid w:val="00DF4631"/>
    <w:rsid w:val="00DF693C"/>
    <w:rsid w:val="00DF6D73"/>
    <w:rsid w:val="00DF7553"/>
    <w:rsid w:val="00E03A7E"/>
    <w:rsid w:val="00E17C11"/>
    <w:rsid w:val="00E20007"/>
    <w:rsid w:val="00E216C2"/>
    <w:rsid w:val="00E21D2C"/>
    <w:rsid w:val="00E23DD3"/>
    <w:rsid w:val="00E31FA9"/>
    <w:rsid w:val="00E42258"/>
    <w:rsid w:val="00E479BF"/>
    <w:rsid w:val="00E746EE"/>
    <w:rsid w:val="00E76921"/>
    <w:rsid w:val="00E77466"/>
    <w:rsid w:val="00E80E59"/>
    <w:rsid w:val="00E877F9"/>
    <w:rsid w:val="00E879F3"/>
    <w:rsid w:val="00E92D8C"/>
    <w:rsid w:val="00EB60EB"/>
    <w:rsid w:val="00EC0761"/>
    <w:rsid w:val="00ED3D61"/>
    <w:rsid w:val="00ED3F77"/>
    <w:rsid w:val="00EE2404"/>
    <w:rsid w:val="00EF1A09"/>
    <w:rsid w:val="00EF43FE"/>
    <w:rsid w:val="00EF4F11"/>
    <w:rsid w:val="00EF5190"/>
    <w:rsid w:val="00EF5987"/>
    <w:rsid w:val="00EF6C45"/>
    <w:rsid w:val="00F0126D"/>
    <w:rsid w:val="00F02359"/>
    <w:rsid w:val="00F063BA"/>
    <w:rsid w:val="00F108C2"/>
    <w:rsid w:val="00F15A98"/>
    <w:rsid w:val="00F22AA1"/>
    <w:rsid w:val="00F24C2A"/>
    <w:rsid w:val="00F31F6A"/>
    <w:rsid w:val="00F3246B"/>
    <w:rsid w:val="00F32708"/>
    <w:rsid w:val="00F33F46"/>
    <w:rsid w:val="00F421C9"/>
    <w:rsid w:val="00F51D8C"/>
    <w:rsid w:val="00F53062"/>
    <w:rsid w:val="00F53428"/>
    <w:rsid w:val="00F53BF0"/>
    <w:rsid w:val="00F60589"/>
    <w:rsid w:val="00F61E44"/>
    <w:rsid w:val="00F663B9"/>
    <w:rsid w:val="00F669CC"/>
    <w:rsid w:val="00F70BB8"/>
    <w:rsid w:val="00F70C3D"/>
    <w:rsid w:val="00F747AE"/>
    <w:rsid w:val="00F76D9E"/>
    <w:rsid w:val="00F774A6"/>
    <w:rsid w:val="00F9028F"/>
    <w:rsid w:val="00F91D39"/>
    <w:rsid w:val="00F94967"/>
    <w:rsid w:val="00F96A55"/>
    <w:rsid w:val="00FA32C2"/>
    <w:rsid w:val="00FA6BDD"/>
    <w:rsid w:val="00FB349C"/>
    <w:rsid w:val="00FB6689"/>
    <w:rsid w:val="00FC0227"/>
    <w:rsid w:val="00FC0DB0"/>
    <w:rsid w:val="00FC18CA"/>
    <w:rsid w:val="00FC2AAE"/>
    <w:rsid w:val="00FC4A35"/>
    <w:rsid w:val="00FC5554"/>
    <w:rsid w:val="00FC5B09"/>
    <w:rsid w:val="00FD5780"/>
    <w:rsid w:val="00FD78B2"/>
    <w:rsid w:val="00FF5BA5"/>
    <w:rsid w:val="00FF622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3266"/>
    <w:pPr>
      <w:overflowPunct w:val="0"/>
      <w:autoSpaceDE w:val="0"/>
      <w:autoSpaceDN w:val="0"/>
      <w:adjustRightInd w:val="0"/>
      <w:textAlignment w:val="baseline"/>
    </w:pPr>
    <w:rPr>
      <w:rFonts w:ascii="Arial" w:hAnsi="Arial" w:cs="Arial"/>
    </w:rPr>
  </w:style>
  <w:style w:type="paragraph" w:styleId="Nadpis1">
    <w:name w:val="heading 1"/>
    <w:basedOn w:val="Normln"/>
    <w:next w:val="Normln"/>
    <w:qFormat/>
    <w:rsid w:val="00530170"/>
    <w:pPr>
      <w:spacing w:before="120" w:after="120"/>
      <w:outlineLvl w:val="0"/>
    </w:pPr>
    <w:rPr>
      <w:b/>
      <w:sz w:val="28"/>
    </w:rPr>
  </w:style>
  <w:style w:type="paragraph" w:styleId="Nadpis2">
    <w:name w:val="heading 2"/>
    <w:basedOn w:val="Normln"/>
    <w:next w:val="Normln"/>
    <w:qFormat/>
    <w:rsid w:val="00151A3A"/>
    <w:pPr>
      <w:spacing w:after="120"/>
      <w:outlineLvl w:val="1"/>
    </w:pPr>
    <w:rPr>
      <w:b/>
      <w:sz w:val="24"/>
    </w:rPr>
  </w:style>
  <w:style w:type="paragraph" w:styleId="Nadpis3">
    <w:name w:val="heading 3"/>
    <w:basedOn w:val="Normln"/>
    <w:next w:val="Normln"/>
    <w:qFormat/>
    <w:rsid w:val="00530170"/>
    <w:pP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rsid w:val="00E23DD3"/>
    <w:pPr>
      <w:ind w:left="708"/>
    </w:pPr>
  </w:style>
  <w:style w:type="paragraph" w:styleId="Zhlav">
    <w:name w:val="header"/>
    <w:basedOn w:val="Normln"/>
    <w:rsid w:val="00021222"/>
    <w:pPr>
      <w:tabs>
        <w:tab w:val="center" w:pos="4536"/>
        <w:tab w:val="right" w:pos="9072"/>
      </w:tabs>
    </w:pPr>
  </w:style>
  <w:style w:type="paragraph" w:styleId="Zpat">
    <w:name w:val="footer"/>
    <w:basedOn w:val="Normln"/>
    <w:rsid w:val="00021222"/>
    <w:pPr>
      <w:tabs>
        <w:tab w:val="center" w:pos="4536"/>
        <w:tab w:val="right" w:pos="9072"/>
      </w:tabs>
    </w:pPr>
  </w:style>
  <w:style w:type="paragraph" w:customStyle="1" w:styleId="kbDocumentnameextrenal">
    <w:name w:val="kb_Document_name_extrenal"/>
    <w:basedOn w:val="Normln"/>
    <w:rsid w:val="00021222"/>
    <w:pPr>
      <w:shd w:val="pct37" w:color="auto" w:fill="auto"/>
      <w:tabs>
        <w:tab w:val="right" w:pos="6167"/>
      </w:tabs>
      <w:spacing w:before="560"/>
    </w:pPr>
    <w:rPr>
      <w:b/>
      <w:bCs/>
      <w:color w:val="FFFFFF"/>
      <w:sz w:val="27"/>
      <w:szCs w:val="27"/>
    </w:rPr>
  </w:style>
  <w:style w:type="paragraph" w:customStyle="1" w:styleId="NadpisI">
    <w:name w:val="Nadpis I."/>
    <w:basedOn w:val="Normln"/>
    <w:rsid w:val="00021222"/>
    <w:pPr>
      <w:numPr>
        <w:ilvl w:val="1"/>
        <w:numId w:val="1"/>
      </w:numPr>
      <w:jc w:val="center"/>
    </w:pPr>
    <w:rPr>
      <w:b/>
      <w:sz w:val="18"/>
      <w:szCs w:val="18"/>
    </w:rPr>
  </w:style>
  <w:style w:type="paragraph" w:customStyle="1" w:styleId="1Normlnodsazen">
    <w:name w:val="1. Normální odsazený"/>
    <w:basedOn w:val="Normlnodsazen"/>
    <w:rsid w:val="002552A2"/>
    <w:pPr>
      <w:widowControl w:val="0"/>
      <w:numPr>
        <w:numId w:val="4"/>
      </w:numPr>
      <w:spacing w:before="120" w:after="120"/>
      <w:jc w:val="both"/>
    </w:pPr>
    <w:rPr>
      <w:sz w:val="18"/>
      <w:szCs w:val="18"/>
    </w:rPr>
  </w:style>
  <w:style w:type="paragraph" w:styleId="Textbubliny">
    <w:name w:val="Balloon Text"/>
    <w:basedOn w:val="Normln"/>
    <w:semiHidden/>
    <w:rsid w:val="00FC5554"/>
    <w:rPr>
      <w:rFonts w:ascii="Tahoma" w:hAnsi="Tahoma" w:cs="Tahoma"/>
      <w:sz w:val="16"/>
      <w:szCs w:val="16"/>
    </w:rPr>
  </w:style>
  <w:style w:type="paragraph" w:customStyle="1" w:styleId="kbFixedtext">
    <w:name w:val="kb_Fixed_text"/>
    <w:basedOn w:val="Normln"/>
    <w:rsid w:val="001F2B79"/>
    <w:pPr>
      <w:spacing w:before="40"/>
      <w:jc w:val="both"/>
    </w:pPr>
    <w:rPr>
      <w:rFonts w:cs="Times New Roman"/>
      <w:sz w:val="16"/>
    </w:rPr>
  </w:style>
  <w:style w:type="paragraph" w:customStyle="1" w:styleId="kbRegistration">
    <w:name w:val="kb_Registration"/>
    <w:basedOn w:val="Normln"/>
    <w:rsid w:val="001F2B79"/>
    <w:pPr>
      <w:spacing w:before="40"/>
      <w:jc w:val="both"/>
    </w:pPr>
    <w:rPr>
      <w:rFonts w:cs="Times New Roman"/>
      <w:caps/>
      <w:sz w:val="8"/>
    </w:rPr>
  </w:style>
  <w:style w:type="paragraph" w:customStyle="1" w:styleId="Registration">
    <w:name w:val="Registration"/>
    <w:basedOn w:val="Normln"/>
    <w:rsid w:val="001F2B79"/>
    <w:pPr>
      <w:spacing w:before="40"/>
      <w:jc w:val="both"/>
    </w:pPr>
    <w:rPr>
      <w:rFonts w:cs="Times New Roman"/>
      <w:caps/>
      <w:sz w:val="8"/>
    </w:rPr>
  </w:style>
  <w:style w:type="character" w:styleId="Odkaznakoment">
    <w:name w:val="annotation reference"/>
    <w:basedOn w:val="Standardnpsmoodstavce"/>
    <w:semiHidden/>
    <w:rsid w:val="0065090A"/>
    <w:rPr>
      <w:sz w:val="16"/>
      <w:szCs w:val="16"/>
    </w:rPr>
  </w:style>
  <w:style w:type="paragraph" w:styleId="Textkomente">
    <w:name w:val="annotation text"/>
    <w:basedOn w:val="Normln"/>
    <w:semiHidden/>
    <w:rsid w:val="0065090A"/>
  </w:style>
  <w:style w:type="paragraph" w:styleId="Pedmtkomente">
    <w:name w:val="annotation subject"/>
    <w:basedOn w:val="Textkomente"/>
    <w:next w:val="Textkomente"/>
    <w:semiHidden/>
    <w:rsid w:val="0065090A"/>
    <w:rPr>
      <w:b/>
      <w:bCs/>
    </w:rPr>
  </w:style>
  <w:style w:type="character" w:customStyle="1" w:styleId="ARIAL9B">
    <w:name w:val="ARIAL9B"/>
    <w:basedOn w:val="Standardnpsmoodstavce"/>
    <w:rsid w:val="00BA04FC"/>
    <w:rPr>
      <w:rFonts w:ascii="Arial" w:hAnsi="Arial" w:cs="Arial"/>
      <w:sz w:val="18"/>
      <w:szCs w:val="18"/>
      <w:u w:val="none"/>
      <w:lang w:val="cs-CZ" w:eastAsia="en-US" w:bidi="ar-SA"/>
    </w:rPr>
  </w:style>
  <w:style w:type="character" w:customStyle="1" w:styleId="StylTun">
    <w:name w:val="Styl Tučné"/>
    <w:basedOn w:val="Standardnpsmoodstavce"/>
    <w:rsid w:val="00BA04FC"/>
    <w:rPr>
      <w:rFonts w:ascii="Arial" w:eastAsia="SimSun" w:hAnsi="Arial" w:cs="Arial"/>
      <w:b/>
      <w:bCs/>
      <w:sz w:val="18"/>
      <w:szCs w:val="18"/>
      <w:lang w:val="cs-CZ" w:eastAsia="en-US" w:bidi="ar-SA"/>
    </w:rPr>
  </w:style>
  <w:style w:type="paragraph" w:customStyle="1" w:styleId="Body1">
    <w:name w:val="Body1"/>
    <w:basedOn w:val="Normln"/>
    <w:rsid w:val="00BA04FC"/>
    <w:pPr>
      <w:overflowPunct/>
      <w:autoSpaceDE/>
      <w:autoSpaceDN/>
      <w:adjustRightInd/>
      <w:spacing w:after="240"/>
      <w:ind w:left="567"/>
      <w:jc w:val="both"/>
      <w:textAlignment w:val="auto"/>
    </w:pPr>
    <w:rPr>
      <w:rFonts w:eastAsia="SimSun" w:cs="Times New Roman"/>
      <w:lang w:val="en-GB" w:eastAsia="zh-CN"/>
    </w:rPr>
  </w:style>
  <w:style w:type="paragraph" w:customStyle="1" w:styleId="Styl5">
    <w:name w:val="Styl5"/>
    <w:basedOn w:val="Normln"/>
    <w:rsid w:val="00BA04FC"/>
    <w:pPr>
      <w:keepNext/>
      <w:overflowPunct/>
      <w:autoSpaceDE/>
      <w:autoSpaceDN/>
      <w:adjustRightInd/>
      <w:spacing w:after="80"/>
      <w:jc w:val="both"/>
      <w:textAlignment w:val="auto"/>
    </w:pPr>
    <w:rPr>
      <w:rFonts w:eastAsia="SimSun"/>
      <w:szCs w:val="18"/>
      <w:lang w:val="en-GB" w:eastAsia="zh-CN"/>
    </w:rPr>
  </w:style>
  <w:style w:type="paragraph" w:customStyle="1" w:styleId="CharCharCharCharCharCharChar1CharCharCharChar">
    <w:name w:val="Char Char Char Char Char Char Char1 Char Char Char Char"/>
    <w:basedOn w:val="Normln"/>
    <w:rsid w:val="00BA04FC"/>
    <w:pPr>
      <w:widowControl w:val="0"/>
      <w:overflowPunct/>
      <w:autoSpaceDE/>
      <w:autoSpaceDN/>
      <w:spacing w:after="160" w:line="240" w:lineRule="exact"/>
      <w:jc w:val="both"/>
    </w:pPr>
    <w:rPr>
      <w:rFonts w:ascii="Verdana" w:hAnsi="Verdana" w:cs="Times New Roman"/>
      <w:sz w:val="18"/>
      <w:lang w:val="en-US" w:eastAsia="en-US"/>
    </w:rPr>
  </w:style>
  <w:style w:type="character" w:customStyle="1" w:styleId="ARIEL9">
    <w:name w:val="ARIEL9"/>
    <w:basedOn w:val="Standardnpsmoodstavce"/>
    <w:rsid w:val="00BA04FC"/>
    <w:rPr>
      <w:rFonts w:ascii="Arial" w:hAnsi="Arial" w:cs="Arial"/>
      <w:sz w:val="18"/>
      <w:szCs w:val="18"/>
    </w:rPr>
  </w:style>
  <w:style w:type="paragraph" w:styleId="Zkladntext">
    <w:name w:val="Body Text"/>
    <w:basedOn w:val="Normln"/>
    <w:rsid w:val="00F70C3D"/>
    <w:pPr>
      <w:overflowPunct/>
      <w:autoSpaceDE/>
      <w:autoSpaceDN/>
      <w:adjustRightInd/>
      <w:spacing w:after="240"/>
      <w:textAlignment w:val="auto"/>
    </w:pPr>
    <w:rPr>
      <w:rFonts w:ascii="Garamond MT" w:hAnsi="Garamond MT" w:cs="Times New Roman"/>
      <w:sz w:val="24"/>
      <w:szCs w:val="24"/>
      <w:lang w:val="en-GB" w:eastAsia="en-US"/>
    </w:rPr>
  </w:style>
  <w:style w:type="paragraph" w:customStyle="1" w:styleId="StandardnpsmoodstavceCharCharChar1Char">
    <w:name w:val="Standardní písmo odstavce Char Char Char1 Char"/>
    <w:aliases w:val=" Char Char Char1 Char Char Char Char"/>
    <w:basedOn w:val="Normln"/>
    <w:rsid w:val="001F1CB8"/>
    <w:pPr>
      <w:widowControl w:val="0"/>
      <w:overflowPunct/>
      <w:autoSpaceDE/>
      <w:autoSpaceDN/>
      <w:spacing w:after="160" w:line="240" w:lineRule="exact"/>
      <w:jc w:val="both"/>
    </w:pPr>
    <w:rPr>
      <w:rFonts w:ascii="Verdana" w:hAnsi="Verdana" w:cs="Times New Roman"/>
      <w:lang w:val="en-US" w:eastAsia="en-US"/>
    </w:rPr>
  </w:style>
  <w:style w:type="character" w:customStyle="1" w:styleId="9B-TUCNE">
    <w:name w:val="9B - TUCNE"/>
    <w:basedOn w:val="ARIAL9B"/>
    <w:rsid w:val="001F1CB8"/>
    <w:rPr>
      <w:b/>
    </w:rPr>
  </w:style>
  <w:style w:type="paragraph" w:customStyle="1" w:styleId="FORMAT-BLOK">
    <w:name w:val="FORMAT - BLOK"/>
    <w:aliases w:val="MEZERA"/>
    <w:basedOn w:val="Normln"/>
    <w:link w:val="FORMAT-BLOKMEZERAChar"/>
    <w:rsid w:val="001F1CB8"/>
    <w:pPr>
      <w:overflowPunct/>
      <w:autoSpaceDE/>
      <w:autoSpaceDN/>
      <w:adjustRightInd/>
      <w:spacing w:after="80"/>
      <w:jc w:val="both"/>
      <w:textAlignment w:val="auto"/>
    </w:pPr>
    <w:rPr>
      <w:sz w:val="18"/>
      <w:szCs w:val="18"/>
    </w:rPr>
  </w:style>
  <w:style w:type="character" w:customStyle="1" w:styleId="FORMAT-BLOKMEZERAChar">
    <w:name w:val="FORMAT - BLOK;MEZERA Char"/>
    <w:basedOn w:val="Standardnpsmoodstavce"/>
    <w:link w:val="FORMAT-BLOK"/>
    <w:rsid w:val="001F1CB8"/>
    <w:rPr>
      <w:rFonts w:ascii="Arial" w:hAnsi="Arial" w:cs="Arial"/>
      <w:sz w:val="18"/>
      <w:szCs w:val="18"/>
      <w:lang w:val="cs-CZ" w:eastAsia="cs-CZ" w:bidi="ar-SA"/>
    </w:rPr>
  </w:style>
  <w:style w:type="character" w:styleId="slostrnky">
    <w:name w:val="page number"/>
    <w:basedOn w:val="Standardnpsmoodstavce"/>
    <w:rsid w:val="002B4148"/>
    <w:rPr>
      <w:rFonts w:ascii="Arial" w:hAnsi="Arial"/>
      <w:sz w:val="16"/>
    </w:rPr>
  </w:style>
  <w:style w:type="paragraph" w:customStyle="1" w:styleId="Pokus1">
    <w:name w:val="Pokus 1"/>
    <w:basedOn w:val="Nadpis1"/>
    <w:rsid w:val="002B4148"/>
    <w:pPr>
      <w:numPr>
        <w:numId w:val="21"/>
      </w:numPr>
      <w:jc w:val="both"/>
    </w:pPr>
    <w:rPr>
      <w:rFonts w:eastAsia="SimSun" w:cs="Times New Roman"/>
      <w:sz w:val="18"/>
      <w:szCs w:val="18"/>
      <w:lang w:eastAsia="zh-CN"/>
    </w:rPr>
  </w:style>
  <w:style w:type="paragraph" w:customStyle="1" w:styleId="arialCharCharCharCharCharCharCharCharCharChar">
    <w:name w:val="arial Char Char Char Char Char Char Char Char Char Char"/>
    <w:basedOn w:val="Normln"/>
    <w:semiHidden/>
    <w:rsid w:val="0051742E"/>
    <w:pPr>
      <w:widowControl w:val="0"/>
      <w:overflowPunct/>
      <w:autoSpaceDE/>
      <w:autoSpaceDN/>
      <w:adjustRightInd/>
      <w:spacing w:after="120"/>
      <w:jc w:val="both"/>
      <w:textAlignment w:val="auto"/>
    </w:pPr>
    <w:rPr>
      <w:rFonts w:eastAsia="SimSun" w:cs="Times New Roman"/>
      <w:sz w:val="18"/>
      <w:szCs w:val="18"/>
      <w:lang w:eastAsia="zh-CN"/>
    </w:rPr>
  </w:style>
  <w:style w:type="paragraph" w:customStyle="1" w:styleId="body">
    <w:name w:val="body"/>
    <w:basedOn w:val="Normln"/>
    <w:rsid w:val="00D71F33"/>
    <w:pPr>
      <w:tabs>
        <w:tab w:val="left" w:pos="851"/>
        <w:tab w:val="left" w:pos="5670"/>
      </w:tabs>
      <w:overflowPunct/>
      <w:autoSpaceDE/>
      <w:autoSpaceDN/>
      <w:adjustRightInd/>
      <w:spacing w:after="120"/>
      <w:ind w:left="851" w:hanging="851"/>
      <w:jc w:val="both"/>
      <w:textAlignment w:val="auto"/>
    </w:pPr>
    <w:rPr>
      <w:rFonts w:ascii="Times New Roman" w:hAnsi="Times New Roman" w:cs="Times New Roman"/>
      <w:sz w:val="24"/>
      <w:szCs w:val="24"/>
    </w:rPr>
  </w:style>
  <w:style w:type="character" w:customStyle="1" w:styleId="DeltaViewInsertion">
    <w:name w:val="DeltaView Insertion"/>
    <w:rsid w:val="008165E1"/>
    <w:rPr>
      <w:color w:val="0000FF"/>
      <w:spacing w:val="0"/>
      <w:u w:val="double"/>
    </w:rPr>
  </w:style>
  <w:style w:type="paragraph" w:customStyle="1" w:styleId="CharCharCharCharCharCharChar1CharCharCharChar0">
    <w:name w:val="Char Char Char Char Char Char Char1 Char Char Char Char"/>
    <w:basedOn w:val="Normln"/>
    <w:rsid w:val="008165E1"/>
    <w:pPr>
      <w:widowControl w:val="0"/>
      <w:overflowPunct/>
      <w:autoSpaceDE/>
      <w:autoSpaceDN/>
      <w:spacing w:after="120" w:line="240" w:lineRule="exact"/>
      <w:jc w:val="both"/>
    </w:pPr>
    <w:rPr>
      <w:rFonts w:cs="Times New Roman"/>
      <w:sz w:val="18"/>
      <w:szCs w:val="18"/>
      <w:lang w:eastAsia="en-US"/>
    </w:rPr>
  </w:style>
  <w:style w:type="character" w:styleId="Hypertextovodkaz">
    <w:name w:val="Hyperlink"/>
    <w:basedOn w:val="Standardnpsmoodstavce"/>
    <w:rsid w:val="00B415B2"/>
    <w:rPr>
      <w:color w:val="0000FF"/>
      <w:u w:val="single"/>
    </w:rPr>
  </w:style>
  <w:style w:type="paragraph" w:customStyle="1" w:styleId="Char">
    <w:name w:val="Char"/>
    <w:basedOn w:val="Normln"/>
    <w:rsid w:val="00B415B2"/>
    <w:pPr>
      <w:widowControl w:val="0"/>
      <w:overflowPunct/>
      <w:autoSpaceDE/>
      <w:autoSpaceDN/>
      <w:spacing w:after="160" w:line="240" w:lineRule="exact"/>
      <w:jc w:val="both"/>
    </w:pPr>
    <w:rPr>
      <w:rFonts w:ascii="Verdana" w:hAnsi="Verdana" w:cs="Times New Roman"/>
      <w:sz w:val="18"/>
      <w:lang w:val="en-US" w:eastAsia="en-US"/>
    </w:rPr>
  </w:style>
  <w:style w:type="paragraph" w:customStyle="1" w:styleId="TableText">
    <w:name w:val="Table Text"/>
    <w:basedOn w:val="Normln"/>
    <w:uiPriority w:val="99"/>
    <w:rsid w:val="00144169"/>
    <w:pPr>
      <w:widowControl w:val="0"/>
      <w:overflowPunct/>
      <w:autoSpaceDE/>
      <w:autoSpaceDN/>
      <w:adjustRightInd/>
      <w:textAlignment w:val="auto"/>
    </w:pPr>
    <w:rPr>
      <w:rFonts w:ascii="Palatino" w:hAnsi="Palatino" w:cs="Palatino"/>
      <w:lang w:val="en-US" w:eastAsia="en-US"/>
    </w:rPr>
  </w:style>
  <w:style w:type="paragraph" w:styleId="Odstavecseseznamem">
    <w:name w:val="List Paragraph"/>
    <w:basedOn w:val="Normln"/>
    <w:uiPriority w:val="34"/>
    <w:qFormat/>
    <w:rsid w:val="00256E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BE38E-DB77-472D-AD21-2A11B2B4D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2668</Words>
  <Characters>15745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Komerční banka, a</vt:lpstr>
    </vt:vector>
  </TitlesOfParts>
  <Company>Komerční banka, a. s.</Company>
  <LinksUpToDate>false</LinksUpToDate>
  <CharactersWithSpaces>18377</CharactersWithSpaces>
  <SharedDoc>false</SharedDoc>
  <HLinks>
    <vt:vector size="6" baseType="variant">
      <vt:variant>
        <vt:i4>5767237</vt:i4>
      </vt:variant>
      <vt:variant>
        <vt:i4>102</vt:i4>
      </vt:variant>
      <vt:variant>
        <vt:i4>0</vt:i4>
      </vt:variant>
      <vt:variant>
        <vt:i4>5</vt:i4>
      </vt:variant>
      <vt:variant>
        <vt:lpwstr>www.kb.cz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Komerční banka, a</dc:title>
  <dc:creator>lwagner</dc:creator>
  <cp:lastModifiedBy>lukáš osoha</cp:lastModifiedBy>
  <cp:revision>4</cp:revision>
  <cp:lastPrinted>2012-11-27T12:59:00Z</cp:lastPrinted>
  <dcterms:created xsi:type="dcterms:W3CDTF">2013-12-31T10:44:00Z</dcterms:created>
  <dcterms:modified xsi:type="dcterms:W3CDTF">2014-01-02T08:56:00Z</dcterms:modified>
</cp:coreProperties>
</file>